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topFromText="425" w:bottomFromText="198" w:vertAnchor="page" w:horzAnchor="margin" w:tblpXSpec="center" w:tblpY="376"/>
        <w:tblW w:w="5623" w:type="pct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2899"/>
        <w:gridCol w:w="362"/>
        <w:gridCol w:w="8695"/>
      </w:tblGrid>
      <w:tr w:rsidR="00DE1ABD" w:rsidRPr="004547C9" w14:paraId="1230FC62" w14:textId="77777777" w:rsidTr="00DE1ABD">
        <w:trPr>
          <w:cantSplit/>
          <w:trHeight w:val="248"/>
        </w:trPr>
        <w:tc>
          <w:tcPr>
            <w:tcW w:w="2744" w:type="dxa"/>
            <w:vAlign w:val="center"/>
            <w:hideMark/>
          </w:tcPr>
          <w:p w14:paraId="33396F84" w14:textId="77777777" w:rsidR="00DE1ABD" w:rsidRPr="004547C9" w:rsidRDefault="00DE1ABD" w:rsidP="00DE1ABD">
            <w:pPr>
              <w:tabs>
                <w:tab w:val="left" w:pos="8085"/>
              </w:tabs>
              <w:spacing w:line="264" w:lineRule="auto"/>
              <w:jc w:val="center"/>
              <w:rPr>
                <w:rFonts w:ascii="Arial" w:hAnsi="Arial" w:cs="Arial"/>
                <w:b/>
                <w:bCs/>
                <w:color w:val="7F2F2D"/>
                <w:sz w:val="14"/>
                <w:szCs w:val="14"/>
                <w:lang w:val="el-GR"/>
              </w:rPr>
            </w:pPr>
            <w:r w:rsidRPr="004547C9">
              <w:rPr>
                <w:rFonts w:ascii="Arial" w:hAnsi="Arial" w:cs="Arial"/>
                <w:b/>
                <w:bCs/>
                <w:color w:val="7F2F2D"/>
                <w:sz w:val="14"/>
                <w:szCs w:val="14"/>
                <w:lang w:val="el-GR"/>
              </w:rPr>
              <w:t>ΕΛΛΗΝΙΚΗ ΔΗΜΟΚΡΑΤΙΑ</w:t>
            </w:r>
          </w:p>
        </w:tc>
        <w:tc>
          <w:tcPr>
            <w:tcW w:w="343" w:type="dxa"/>
            <w:vMerge w:val="restart"/>
          </w:tcPr>
          <w:p w14:paraId="3D77EBCD" w14:textId="77777777" w:rsidR="00DE1ABD" w:rsidRPr="004547C9" w:rsidRDefault="00DE1ABD" w:rsidP="00DE1ABD">
            <w:pPr>
              <w:tabs>
                <w:tab w:val="left" w:pos="8085"/>
              </w:tabs>
              <w:spacing w:line="264" w:lineRule="auto"/>
              <w:jc w:val="center"/>
              <w:rPr>
                <w:rFonts w:ascii="Tahoma" w:hAnsi="Tahoma" w:cs="Tahoma"/>
                <w:b/>
                <w:bCs/>
                <w:lang w:val="el-GR"/>
              </w:rPr>
            </w:pPr>
          </w:p>
        </w:tc>
        <w:tc>
          <w:tcPr>
            <w:tcW w:w="8231" w:type="dxa"/>
            <w:vAlign w:val="center"/>
            <w:hideMark/>
          </w:tcPr>
          <w:p w14:paraId="3C9DF0F0" w14:textId="77777777" w:rsidR="00DE1ABD" w:rsidRPr="004547C9" w:rsidRDefault="00DE1ABD" w:rsidP="00DE1AB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</w:p>
        </w:tc>
      </w:tr>
      <w:tr w:rsidR="00DE1ABD" w:rsidRPr="00DE1ABD" w14:paraId="436D7890" w14:textId="77777777" w:rsidTr="00DE1ABD">
        <w:trPr>
          <w:cantSplit/>
          <w:trHeight w:val="2156"/>
        </w:trPr>
        <w:tc>
          <w:tcPr>
            <w:tcW w:w="2744" w:type="dxa"/>
            <w:hideMark/>
          </w:tcPr>
          <w:p w14:paraId="7C4F033B" w14:textId="77777777" w:rsidR="00DE1ABD" w:rsidRPr="004547C9" w:rsidRDefault="00DE1ABD" w:rsidP="00DE1ABD">
            <w:pPr>
              <w:tabs>
                <w:tab w:val="left" w:pos="8085"/>
              </w:tabs>
              <w:spacing w:line="264" w:lineRule="auto"/>
              <w:jc w:val="center"/>
              <w:rPr>
                <w:rFonts w:ascii="Tahoma" w:hAnsi="Tahoma" w:cs="Tahoma"/>
                <w:b/>
                <w:bCs/>
                <w:lang w:val="el-GR"/>
              </w:rPr>
            </w:pPr>
            <w:r w:rsidRPr="004547C9">
              <w:rPr>
                <w:b/>
                <w:bCs/>
                <w:noProof/>
                <w:lang w:val="el-GR"/>
              </w:rPr>
              <w:drawing>
                <wp:anchor distT="0" distB="0" distL="0" distR="0" simplePos="0" relativeHeight="251659264" behindDoc="0" locked="0" layoutInCell="1" allowOverlap="1" wp14:anchorId="59B716B6" wp14:editId="5FEF1B42">
                  <wp:simplePos x="0" y="0"/>
                  <wp:positionH relativeFrom="page">
                    <wp:posOffset>280035</wp:posOffset>
                  </wp:positionH>
                  <wp:positionV relativeFrom="paragraph">
                    <wp:posOffset>6985</wp:posOffset>
                  </wp:positionV>
                  <wp:extent cx="1079500" cy="1281937"/>
                  <wp:effectExtent l="0" t="0" r="0" b="0"/>
                  <wp:wrapNone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281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3BE125" w14:textId="77777777" w:rsidR="00DE1ABD" w:rsidRPr="004547C9" w:rsidRDefault="00DE1ABD" w:rsidP="00DE1ABD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lang w:val="el-GR"/>
              </w:rPr>
            </w:pPr>
          </w:p>
          <w:p w14:paraId="5A394C3D" w14:textId="77777777" w:rsidR="00DE1ABD" w:rsidRPr="004547C9" w:rsidRDefault="00DE1ABD" w:rsidP="00DE1ABD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lang w:val="el-GR"/>
              </w:rPr>
            </w:pPr>
          </w:p>
          <w:p w14:paraId="632EAD7B" w14:textId="77777777" w:rsidR="00DE1ABD" w:rsidRPr="004547C9" w:rsidRDefault="00DE1ABD" w:rsidP="00DE1ABD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lang w:val="el-GR"/>
              </w:rPr>
            </w:pPr>
          </w:p>
          <w:p w14:paraId="10C2220D" w14:textId="77777777" w:rsidR="00DE1ABD" w:rsidRPr="004547C9" w:rsidRDefault="00DE1ABD" w:rsidP="00DE1ABD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lang w:val="el-GR"/>
              </w:rPr>
            </w:pPr>
          </w:p>
          <w:p w14:paraId="02A10273" w14:textId="77777777" w:rsidR="00DE1ABD" w:rsidRPr="004547C9" w:rsidRDefault="00DE1ABD" w:rsidP="00DE1ABD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lang w:val="el-GR"/>
              </w:rPr>
            </w:pPr>
          </w:p>
          <w:p w14:paraId="75E7B251" w14:textId="77777777" w:rsidR="00DE1ABD" w:rsidRPr="004547C9" w:rsidRDefault="00DE1ABD" w:rsidP="00DE1ABD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lang w:val="el-GR"/>
              </w:rPr>
            </w:pPr>
          </w:p>
          <w:p w14:paraId="54B0C4A3" w14:textId="77777777" w:rsidR="00DE1ABD" w:rsidRPr="004547C9" w:rsidRDefault="00DE1ABD" w:rsidP="00DE1ABD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lang w:val="el-GR"/>
              </w:rPr>
            </w:pPr>
          </w:p>
        </w:tc>
        <w:tc>
          <w:tcPr>
            <w:tcW w:w="343" w:type="dxa"/>
            <w:vMerge/>
          </w:tcPr>
          <w:p w14:paraId="1C7491AF" w14:textId="77777777" w:rsidR="00DE1ABD" w:rsidRPr="004547C9" w:rsidRDefault="00DE1ABD" w:rsidP="00DE1ABD">
            <w:pPr>
              <w:tabs>
                <w:tab w:val="left" w:pos="8085"/>
              </w:tabs>
              <w:spacing w:line="264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231" w:type="dxa"/>
            <w:hideMark/>
          </w:tcPr>
          <w:p w14:paraId="3F05B2B4" w14:textId="77777777" w:rsidR="00DE1ABD" w:rsidRPr="004547C9" w:rsidRDefault="00DE1ABD" w:rsidP="00DE1ABD">
            <w:pPr>
              <w:spacing w:beforeLines="20" w:before="48" w:afterLines="20" w:after="48"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4547C9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ΣΧΟΛΗ ΘΕΤΙΚΩΝ ΕΠΙΣΤΗΜΩΝ</w:t>
            </w:r>
          </w:p>
          <w:p w14:paraId="58A56BD8" w14:textId="77777777" w:rsidR="00DE1ABD" w:rsidRPr="004547C9" w:rsidRDefault="00DE1ABD" w:rsidP="00DE1ABD">
            <w:pPr>
              <w:spacing w:beforeLines="20" w:before="48" w:afterLines="20" w:after="48"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</w:pPr>
            <w:r w:rsidRPr="004547C9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Τμήμα Φυσικής</w:t>
            </w:r>
          </w:p>
          <w:p w14:paraId="5D27301C" w14:textId="77777777" w:rsidR="00DE1ABD" w:rsidRPr="00DE1ABD" w:rsidRDefault="00DE1ABD" w:rsidP="00DE1ABD">
            <w:pPr>
              <w:tabs>
                <w:tab w:val="left" w:pos="8085"/>
              </w:tabs>
              <w:spacing w:afterLines="20" w:after="48" w:line="264" w:lineRule="auto"/>
              <w:rPr>
                <w:rFonts w:ascii="Arial" w:hAnsi="Arial" w:cs="Arial"/>
                <w:b/>
                <w:bCs/>
                <w:i/>
                <w:w w:val="90"/>
                <w:sz w:val="18"/>
                <w:szCs w:val="18"/>
                <w:lang w:val="el-GR"/>
              </w:rPr>
            </w:pPr>
            <w:r w:rsidRPr="004547C9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>Γραμματεία</w:t>
            </w:r>
          </w:p>
        </w:tc>
      </w:tr>
    </w:tbl>
    <w:p w14:paraId="5BD55A2D" w14:textId="47E8EE03" w:rsidR="00E85D69" w:rsidRPr="00DE1ABD" w:rsidRDefault="00DE1ABD" w:rsidP="00DE1ABD">
      <w:pPr>
        <w:pStyle w:val="ListParagraph"/>
        <w:tabs>
          <w:tab w:val="left" w:pos="5812"/>
        </w:tabs>
        <w:spacing w:after="160" w:line="264" w:lineRule="auto"/>
        <w:ind w:left="0"/>
        <w:contextualSpacing w:val="0"/>
        <w:rPr>
          <w:rFonts w:asciiTheme="minorHAnsi" w:hAnsiTheme="minorHAnsi" w:cstheme="minorHAnsi"/>
          <w:b/>
          <w:bCs/>
          <w:sz w:val="23"/>
          <w:szCs w:val="23"/>
          <w:lang w:val="el-GR"/>
        </w:rPr>
      </w:pPr>
      <w:r>
        <w:rPr>
          <w:rFonts w:asciiTheme="minorHAnsi" w:hAnsiTheme="minorHAnsi" w:cstheme="minorHAnsi"/>
          <w:b/>
          <w:bCs/>
          <w:sz w:val="23"/>
          <w:szCs w:val="23"/>
          <w:lang w:val="el-GR"/>
        </w:rPr>
        <w:t>Ενημέρωση για την κατάρτιση κ</w:t>
      </w:r>
      <w:r w:rsidR="00A26F74" w:rsidRPr="00DE1ABD">
        <w:rPr>
          <w:rFonts w:asciiTheme="minorHAnsi" w:hAnsiTheme="minorHAnsi" w:cstheme="minorHAnsi"/>
          <w:b/>
          <w:bCs/>
          <w:sz w:val="23"/>
          <w:szCs w:val="23"/>
          <w:lang w:val="el-GR"/>
        </w:rPr>
        <w:t>αταλόγου</w:t>
      </w:r>
      <w:r w:rsidR="00E85D69" w:rsidRPr="00DE1ABD">
        <w:rPr>
          <w:rFonts w:asciiTheme="minorHAnsi" w:hAnsiTheme="minorHAnsi" w:cstheme="minorHAnsi"/>
          <w:b/>
          <w:bCs/>
          <w:sz w:val="23"/>
          <w:szCs w:val="23"/>
          <w:lang w:val="el-GR"/>
        </w:rPr>
        <w:t xml:space="preserve"> διαγραφέντων φοιτητών/τριών που συμπλήρωσαν την</w:t>
      </w:r>
      <w:r w:rsidR="00AA34B7" w:rsidRPr="00DE1ABD">
        <w:rPr>
          <w:rFonts w:asciiTheme="minorHAnsi" w:hAnsiTheme="minorHAnsi" w:cstheme="minorHAnsi"/>
          <w:b/>
          <w:bCs/>
          <w:sz w:val="23"/>
          <w:szCs w:val="23"/>
          <w:lang w:val="el-GR"/>
        </w:rPr>
        <w:t xml:space="preserve"> </w:t>
      </w:r>
      <w:r w:rsidR="00E85D69" w:rsidRPr="00DE1ABD">
        <w:rPr>
          <w:rFonts w:asciiTheme="minorHAnsi" w:hAnsiTheme="minorHAnsi" w:cstheme="minorHAnsi"/>
          <w:b/>
          <w:bCs/>
          <w:sz w:val="23"/>
          <w:szCs w:val="23"/>
          <w:lang w:val="el-GR"/>
        </w:rPr>
        <w:t>ανώτατη διάρκεια φοίτησης με το πέρας της επαναληπτικής εξεταστικής</w:t>
      </w:r>
      <w:r w:rsidR="00AA34B7" w:rsidRPr="00DE1ABD">
        <w:rPr>
          <w:rFonts w:asciiTheme="minorHAnsi" w:hAnsiTheme="minorHAnsi" w:cstheme="minorHAnsi"/>
          <w:b/>
          <w:bCs/>
          <w:sz w:val="23"/>
          <w:szCs w:val="23"/>
          <w:lang w:val="el-GR"/>
        </w:rPr>
        <w:t xml:space="preserve"> </w:t>
      </w:r>
      <w:r w:rsidR="00E85D69" w:rsidRPr="00DE1ABD">
        <w:rPr>
          <w:rFonts w:asciiTheme="minorHAnsi" w:hAnsiTheme="minorHAnsi" w:cstheme="minorHAnsi"/>
          <w:b/>
          <w:bCs/>
          <w:sz w:val="23"/>
          <w:szCs w:val="23"/>
          <w:lang w:val="el-GR"/>
        </w:rPr>
        <w:t>Σεπτεμβρίου 2025</w:t>
      </w:r>
    </w:p>
    <w:p w14:paraId="5149181A" w14:textId="77777777" w:rsidR="00E85D69" w:rsidRPr="00DE1ABD" w:rsidRDefault="00E85D69" w:rsidP="004547C9">
      <w:pPr>
        <w:tabs>
          <w:tab w:val="left" w:pos="5812"/>
        </w:tabs>
        <w:spacing w:line="264" w:lineRule="auto"/>
        <w:jc w:val="both"/>
        <w:rPr>
          <w:rFonts w:asciiTheme="minorHAnsi" w:hAnsiTheme="minorHAnsi" w:cstheme="minorHAnsi"/>
          <w:bCs/>
          <w:sz w:val="23"/>
          <w:szCs w:val="23"/>
          <w:lang w:val="el-GR"/>
        </w:rPr>
      </w:pPr>
      <w:r w:rsidRPr="00DE1ABD">
        <w:rPr>
          <w:rFonts w:asciiTheme="minorHAnsi" w:hAnsiTheme="minorHAnsi" w:cstheme="minorHAnsi"/>
          <w:bCs/>
          <w:sz w:val="23"/>
          <w:szCs w:val="23"/>
          <w:lang w:val="el-GR"/>
        </w:rPr>
        <w:t>Έχοντας υπόψη:</w:t>
      </w:r>
    </w:p>
    <w:p w14:paraId="36D1BE7E" w14:textId="44CE5C01" w:rsidR="00AA34B7" w:rsidRPr="00DE1ABD" w:rsidRDefault="00AA34B7" w:rsidP="00DE1ABD">
      <w:pPr>
        <w:pStyle w:val="ListParagraph"/>
        <w:numPr>
          <w:ilvl w:val="1"/>
          <w:numId w:val="4"/>
        </w:numPr>
        <w:tabs>
          <w:tab w:val="left" w:pos="5812"/>
        </w:tabs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DE1AB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Τις διατάξεις του άρθρου 76 και του άρθρου 454 του ν.4957/2022 όπως τροποποιήθηκαν </w:t>
      </w:r>
      <w:r w:rsidR="007F5B5D">
        <w:rPr>
          <w:rFonts w:asciiTheme="minorHAnsi" w:hAnsiTheme="minorHAnsi" w:cstheme="minorHAnsi"/>
          <w:bCs/>
          <w:sz w:val="22"/>
          <w:szCs w:val="22"/>
          <w:lang w:val="el-GR"/>
        </w:rPr>
        <w:t>από το άρθρο 130 του ν.5224/2025</w:t>
      </w:r>
    </w:p>
    <w:p w14:paraId="6FED215B" w14:textId="515BCD5F" w:rsidR="00AA34B7" w:rsidRPr="00DE1ABD" w:rsidRDefault="00E85D69" w:rsidP="00DE1ABD">
      <w:pPr>
        <w:pStyle w:val="ListParagraph"/>
        <w:numPr>
          <w:ilvl w:val="1"/>
          <w:numId w:val="4"/>
        </w:numPr>
        <w:tabs>
          <w:tab w:val="left" w:pos="5812"/>
        </w:tabs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DE1ABD">
        <w:rPr>
          <w:rFonts w:asciiTheme="minorHAnsi" w:hAnsiTheme="minorHAnsi" w:cstheme="minorHAnsi"/>
          <w:bCs/>
          <w:sz w:val="22"/>
          <w:szCs w:val="22"/>
          <w:lang w:val="el-GR"/>
        </w:rPr>
        <w:t>Την υπό στοιχεία 118901/Ζ1/24.09.2025(ΦΕΚ 5629/Β΄/20.10.2025) Υπουργική Απόφαση «Ρύθμιση διαδικαστικών ζητημάτων ανώτατης διάρκειας φοίτησης του άρθρου 76 του v.4957/2022»</w:t>
      </w:r>
    </w:p>
    <w:p w14:paraId="3FDC5AFC" w14:textId="120453FE" w:rsidR="00AA34B7" w:rsidRPr="00DE1ABD" w:rsidRDefault="00E85D69" w:rsidP="00DE1ABD">
      <w:pPr>
        <w:pStyle w:val="ListParagraph"/>
        <w:numPr>
          <w:ilvl w:val="1"/>
          <w:numId w:val="4"/>
        </w:numPr>
        <w:tabs>
          <w:tab w:val="left" w:pos="5812"/>
        </w:tabs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DE1ABD">
        <w:rPr>
          <w:rFonts w:asciiTheme="minorHAnsi" w:hAnsiTheme="minorHAnsi" w:cstheme="minorHAnsi"/>
          <w:bCs/>
          <w:sz w:val="22"/>
          <w:szCs w:val="22"/>
          <w:lang w:val="el-GR"/>
        </w:rPr>
        <w:t>Την υπό στοιχεία 118904/Z1/24.09.2025 ερμηνευτική εγκύκλιο του Υ.ΠΑΙ.Θ.Α. με θέμα</w:t>
      </w:r>
      <w:r w:rsidR="00AA34B7" w:rsidRPr="00DE1AB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: </w:t>
      </w:r>
      <w:r w:rsidRPr="00DE1ABD">
        <w:rPr>
          <w:rFonts w:asciiTheme="minorHAnsi" w:hAnsiTheme="minorHAnsi" w:cstheme="minorHAnsi"/>
          <w:bCs/>
          <w:sz w:val="22"/>
          <w:szCs w:val="22"/>
          <w:lang w:val="el-GR"/>
        </w:rPr>
        <w:t>«Παροχή διευκρινίσεων σχετικά με την εφαρμογή του άρθρου 76 του ν.4957/2022 (Α'</w:t>
      </w:r>
      <w:r w:rsidR="00AA34B7" w:rsidRPr="00DE1AB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DE1ABD">
        <w:rPr>
          <w:rFonts w:asciiTheme="minorHAnsi" w:hAnsiTheme="minorHAnsi" w:cstheme="minorHAnsi"/>
          <w:bCs/>
          <w:sz w:val="22"/>
          <w:szCs w:val="22"/>
          <w:lang w:val="el-GR"/>
        </w:rPr>
        <w:t>141) περί ανώτατης διάρκειας φοίτησης»</w:t>
      </w:r>
    </w:p>
    <w:p w14:paraId="0411CC08" w14:textId="4B16FC48" w:rsidR="00AA34B7" w:rsidRPr="00DE1ABD" w:rsidRDefault="00E85D69" w:rsidP="00DE1ABD">
      <w:pPr>
        <w:pStyle w:val="ListParagraph"/>
        <w:numPr>
          <w:ilvl w:val="1"/>
          <w:numId w:val="4"/>
        </w:numPr>
        <w:tabs>
          <w:tab w:val="left" w:pos="5812"/>
        </w:tabs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DE1ABD">
        <w:rPr>
          <w:rFonts w:asciiTheme="minorHAnsi" w:hAnsiTheme="minorHAnsi" w:cstheme="minorHAnsi"/>
          <w:bCs/>
          <w:sz w:val="22"/>
          <w:szCs w:val="22"/>
          <w:lang w:val="el-GR"/>
        </w:rPr>
        <w:t>Τα στοιχεία του μητρώου των φοιτητών/τριών του Τμήματος</w:t>
      </w:r>
    </w:p>
    <w:p w14:paraId="630F6D9F" w14:textId="4BD93B29" w:rsidR="00AA34B7" w:rsidRPr="00DE1ABD" w:rsidRDefault="00AA34B7" w:rsidP="00DE1ABD">
      <w:pPr>
        <w:pStyle w:val="ListParagraph"/>
        <w:numPr>
          <w:ilvl w:val="1"/>
          <w:numId w:val="4"/>
        </w:numPr>
        <w:tabs>
          <w:tab w:val="left" w:pos="5812"/>
        </w:tabs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DE1ABD">
        <w:rPr>
          <w:rFonts w:asciiTheme="minorHAnsi" w:hAnsiTheme="minorHAnsi" w:cstheme="minorHAnsi"/>
          <w:bCs/>
          <w:sz w:val="22"/>
          <w:szCs w:val="22"/>
          <w:lang w:val="el-GR"/>
        </w:rPr>
        <w:t>Τις αποφάσεις των υπ΄αριθμ. συνεδριάσεων 8/4-12-2025, 11/22-12-2025 Συνελεύσεων του Τμήματος</w:t>
      </w:r>
    </w:p>
    <w:p w14:paraId="7EB29C94" w14:textId="67BF6809" w:rsidR="00376F54" w:rsidRPr="00DE1ABD" w:rsidRDefault="00E85D69" w:rsidP="00DE1ABD">
      <w:pPr>
        <w:pStyle w:val="ListParagraph"/>
        <w:numPr>
          <w:ilvl w:val="1"/>
          <w:numId w:val="4"/>
        </w:numPr>
        <w:tabs>
          <w:tab w:val="left" w:pos="5812"/>
        </w:tabs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DE1ABD">
        <w:rPr>
          <w:rFonts w:asciiTheme="minorHAnsi" w:hAnsiTheme="minorHAnsi" w:cstheme="minorHAnsi"/>
          <w:bCs/>
          <w:sz w:val="22"/>
          <w:szCs w:val="22"/>
          <w:lang w:val="el-GR"/>
        </w:rPr>
        <w:t>Το γεγονός ότι οι αναφερόμενοι/ες φοιτητές/τριες έχουν συμπληρώσει την ανώτατη</w:t>
      </w:r>
      <w:r w:rsidR="00124B68" w:rsidRPr="00DE1AB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DE1ABD">
        <w:rPr>
          <w:rFonts w:asciiTheme="minorHAnsi" w:hAnsiTheme="minorHAnsi" w:cstheme="minorHAnsi"/>
          <w:bCs/>
          <w:sz w:val="22"/>
          <w:szCs w:val="22"/>
          <w:lang w:val="el-GR"/>
        </w:rPr>
        <w:t>διάρκεια φοίτησης, χωρίς να έχουν καταστεί πτυχιούχοι μετά την επαναληπτική</w:t>
      </w:r>
      <w:r w:rsidR="00124B68" w:rsidRPr="00DE1AB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DE1ABD">
        <w:rPr>
          <w:rFonts w:asciiTheme="minorHAnsi" w:hAnsiTheme="minorHAnsi" w:cstheme="minorHAnsi"/>
          <w:bCs/>
          <w:sz w:val="22"/>
          <w:szCs w:val="22"/>
          <w:lang w:val="el-GR"/>
        </w:rPr>
        <w:t>εξεταστική του Σεπτεμβρίου 2025</w:t>
      </w:r>
      <w:r w:rsidR="00124B68" w:rsidRPr="00DE1AB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και χωρίς να έχει εκδοθεί γι’ αυτούς/αυτές απόφαση του αρμοδίου οργάνου  με την οποία,  κατά περίπτωση, να εγκρίνεται η παράταση ή να χορηγείται υπέρβαση της ανώτατης διάρκειας φοίτησης</w:t>
      </w:r>
    </w:p>
    <w:p w14:paraId="17DC0C18" w14:textId="350720CC" w:rsidR="00376F54" w:rsidRPr="00DE1ABD" w:rsidRDefault="00376F54" w:rsidP="00DE1ABD">
      <w:pPr>
        <w:pStyle w:val="ListParagraph"/>
        <w:numPr>
          <w:ilvl w:val="1"/>
          <w:numId w:val="4"/>
        </w:numPr>
        <w:tabs>
          <w:tab w:val="left" w:pos="5812"/>
        </w:tabs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DE1ABD">
        <w:rPr>
          <w:rFonts w:asciiTheme="minorHAnsi" w:hAnsiTheme="minorHAnsi" w:cstheme="minorHAnsi"/>
          <w:bCs/>
          <w:sz w:val="22"/>
          <w:szCs w:val="22"/>
          <w:lang w:val="el-GR"/>
        </w:rPr>
        <w:t>Τις διατάξεις των άρθρων: 4 περ. 5, 6 παρ. 1 περ.γ και 13 παρ. 4 του ΓΚΠΔ (GDPR) Κανονισμός ΕΕ 2016/679</w:t>
      </w:r>
    </w:p>
    <w:p w14:paraId="28639460" w14:textId="3123C282" w:rsidR="00124B68" w:rsidRPr="00DE1ABD" w:rsidRDefault="00DE1ABD" w:rsidP="007F5B5D">
      <w:pPr>
        <w:tabs>
          <w:tab w:val="left" w:pos="5812"/>
        </w:tabs>
        <w:spacing w:before="200" w:line="264" w:lineRule="auto"/>
        <w:jc w:val="center"/>
        <w:rPr>
          <w:rFonts w:asciiTheme="minorHAnsi" w:hAnsiTheme="minorHAnsi" w:cstheme="minorHAnsi"/>
          <w:b/>
          <w:sz w:val="23"/>
          <w:szCs w:val="23"/>
          <w:lang w:val="el-GR"/>
        </w:rPr>
      </w:pPr>
      <w:r>
        <w:rPr>
          <w:rFonts w:asciiTheme="minorHAnsi" w:hAnsiTheme="minorHAnsi" w:cstheme="minorHAnsi"/>
          <w:b/>
          <w:sz w:val="23"/>
          <w:szCs w:val="23"/>
          <w:lang w:val="el-GR"/>
        </w:rPr>
        <w:t>Ανακοινώνεται</w:t>
      </w:r>
    </w:p>
    <w:p w14:paraId="5BF59747" w14:textId="5F7BAB72" w:rsidR="00E85D69" w:rsidRPr="00DE1ABD" w:rsidRDefault="00E058DE" w:rsidP="00DE1ABD">
      <w:pPr>
        <w:tabs>
          <w:tab w:val="left" w:pos="5812"/>
        </w:tabs>
        <w:spacing w:line="264" w:lineRule="auto"/>
        <w:ind w:firstLine="142"/>
        <w:jc w:val="both"/>
        <w:rPr>
          <w:rFonts w:asciiTheme="minorHAnsi" w:hAnsiTheme="minorHAnsi" w:cstheme="minorHAnsi"/>
          <w:sz w:val="23"/>
          <w:szCs w:val="23"/>
          <w:lang w:val="el-GR"/>
        </w:rPr>
      </w:pPr>
      <w:r>
        <w:rPr>
          <w:rFonts w:asciiTheme="minorHAnsi" w:hAnsiTheme="minorHAnsi" w:cstheme="minorHAnsi"/>
          <w:sz w:val="23"/>
          <w:szCs w:val="23"/>
          <w:lang w:val="el-GR"/>
        </w:rPr>
        <w:t xml:space="preserve">Ο </w:t>
      </w:r>
      <w:r w:rsidR="00E85D69" w:rsidRPr="00DE1ABD">
        <w:rPr>
          <w:rFonts w:asciiTheme="minorHAnsi" w:hAnsiTheme="minorHAnsi" w:cstheme="minorHAnsi"/>
          <w:sz w:val="23"/>
          <w:szCs w:val="23"/>
          <w:lang w:val="el-GR"/>
        </w:rPr>
        <w:t>ετήσιο</w:t>
      </w:r>
      <w:r>
        <w:rPr>
          <w:rFonts w:asciiTheme="minorHAnsi" w:hAnsiTheme="minorHAnsi" w:cstheme="minorHAnsi"/>
          <w:sz w:val="23"/>
          <w:szCs w:val="23"/>
          <w:lang w:val="el-GR"/>
        </w:rPr>
        <w:t>ς</w:t>
      </w:r>
      <w:r w:rsidR="00E85D69" w:rsidRPr="00DE1ABD">
        <w:rPr>
          <w:rFonts w:asciiTheme="minorHAnsi" w:hAnsiTheme="minorHAnsi" w:cstheme="minorHAnsi"/>
          <w:sz w:val="23"/>
          <w:szCs w:val="23"/>
          <w:lang w:val="el-GR"/>
        </w:rPr>
        <w:t xml:space="preserve"> οριστικ</w:t>
      </w:r>
      <w:r>
        <w:rPr>
          <w:rFonts w:asciiTheme="minorHAnsi" w:hAnsiTheme="minorHAnsi" w:cstheme="minorHAnsi"/>
          <w:sz w:val="23"/>
          <w:szCs w:val="23"/>
          <w:lang w:val="el-GR"/>
        </w:rPr>
        <w:t>ός</w:t>
      </w:r>
      <w:r w:rsidR="00E85D69" w:rsidRPr="00DE1ABD">
        <w:rPr>
          <w:rFonts w:asciiTheme="minorHAnsi" w:hAnsiTheme="minorHAnsi" w:cstheme="minorHAnsi"/>
          <w:sz w:val="23"/>
          <w:szCs w:val="23"/>
          <w:lang w:val="el-GR"/>
        </w:rPr>
        <w:t xml:space="preserve"> </w:t>
      </w:r>
      <w:r w:rsidR="000C1BF7" w:rsidRPr="00DE1ABD">
        <w:rPr>
          <w:rFonts w:asciiTheme="minorHAnsi" w:hAnsiTheme="minorHAnsi" w:cstheme="minorHAnsi"/>
          <w:sz w:val="23"/>
          <w:szCs w:val="23"/>
          <w:lang w:val="el-GR"/>
        </w:rPr>
        <w:t>κατ</w:t>
      </w:r>
      <w:r>
        <w:rPr>
          <w:rFonts w:asciiTheme="minorHAnsi" w:hAnsiTheme="minorHAnsi" w:cstheme="minorHAnsi"/>
          <w:sz w:val="23"/>
          <w:szCs w:val="23"/>
          <w:lang w:val="el-GR"/>
        </w:rPr>
        <w:t>άλογος</w:t>
      </w:r>
      <w:r w:rsidR="00E85D69" w:rsidRPr="00DE1ABD">
        <w:rPr>
          <w:rFonts w:asciiTheme="minorHAnsi" w:hAnsiTheme="minorHAnsi" w:cstheme="minorHAnsi"/>
          <w:sz w:val="23"/>
          <w:szCs w:val="23"/>
          <w:lang w:val="el-GR"/>
        </w:rPr>
        <w:t>, ο οποίος επέχει θέση διαπιστωτικής πράξης, με το σύνολο των φοιτητών</w:t>
      </w:r>
      <w:r w:rsidR="00124B68" w:rsidRPr="00DE1ABD">
        <w:rPr>
          <w:rFonts w:asciiTheme="minorHAnsi" w:hAnsiTheme="minorHAnsi" w:cstheme="minorHAnsi"/>
          <w:sz w:val="23"/>
          <w:szCs w:val="23"/>
          <w:lang w:val="el-GR"/>
        </w:rPr>
        <w:t>/τριών</w:t>
      </w:r>
      <w:r w:rsidR="00E85D69" w:rsidRPr="00DE1ABD">
        <w:rPr>
          <w:rFonts w:asciiTheme="minorHAnsi" w:hAnsiTheme="minorHAnsi" w:cstheme="minorHAnsi"/>
          <w:sz w:val="23"/>
          <w:szCs w:val="23"/>
          <w:lang w:val="el-GR"/>
        </w:rPr>
        <w:t xml:space="preserve"> που διαγράφονται </w:t>
      </w:r>
      <w:r w:rsidR="00D25E8E" w:rsidRPr="00DE1ABD">
        <w:rPr>
          <w:rFonts w:asciiTheme="minorHAnsi" w:hAnsiTheme="minorHAnsi" w:cstheme="minorHAnsi"/>
          <w:sz w:val="23"/>
          <w:szCs w:val="23"/>
          <w:lang w:val="el-GR"/>
        </w:rPr>
        <w:t xml:space="preserve">στις 22 Δεκεμβρίου </w:t>
      </w:r>
      <w:r w:rsidR="00E85D69" w:rsidRPr="00DE1ABD">
        <w:rPr>
          <w:rFonts w:asciiTheme="minorHAnsi" w:hAnsiTheme="minorHAnsi" w:cstheme="minorHAnsi"/>
          <w:sz w:val="23"/>
          <w:szCs w:val="23"/>
          <w:lang w:val="el-GR"/>
        </w:rPr>
        <w:t>λόγω υπέρβασης της ανώτατης διάρκειας φοίτησης</w:t>
      </w:r>
      <w:r w:rsidR="00124B68" w:rsidRPr="00DE1ABD">
        <w:rPr>
          <w:rFonts w:asciiTheme="minorHAnsi" w:hAnsiTheme="minorHAnsi" w:cstheme="minorHAnsi"/>
          <w:sz w:val="23"/>
          <w:szCs w:val="23"/>
          <w:lang w:val="el-GR"/>
        </w:rPr>
        <w:t>, κατά το έτος 2025,</w:t>
      </w:r>
      <w:r w:rsidR="00E85D69" w:rsidRPr="00DE1ABD">
        <w:rPr>
          <w:rFonts w:asciiTheme="minorHAnsi" w:hAnsiTheme="minorHAnsi" w:cstheme="minorHAnsi"/>
          <w:sz w:val="23"/>
          <w:szCs w:val="23"/>
          <w:lang w:val="el-GR"/>
        </w:rPr>
        <w:t xml:space="preserve"> από το Τμήμα Φυσικής του Αριστοτελείου Θεσσαλονίκης.</w:t>
      </w:r>
    </w:p>
    <w:p w14:paraId="62017AAE" w14:textId="386E697F" w:rsidR="00BB7691" w:rsidRPr="00DE1ABD" w:rsidRDefault="00BB7691" w:rsidP="00DE1ABD">
      <w:pPr>
        <w:tabs>
          <w:tab w:val="left" w:pos="5812"/>
        </w:tabs>
        <w:spacing w:line="264" w:lineRule="auto"/>
        <w:ind w:firstLine="142"/>
        <w:jc w:val="both"/>
        <w:rPr>
          <w:rFonts w:asciiTheme="minorHAnsi" w:hAnsiTheme="minorHAnsi" w:cstheme="minorHAnsi"/>
          <w:bCs/>
          <w:sz w:val="23"/>
          <w:szCs w:val="23"/>
          <w:lang w:val="el-GR"/>
        </w:rPr>
      </w:pPr>
      <w:r w:rsidRPr="00DE1ABD">
        <w:rPr>
          <w:rFonts w:asciiTheme="minorHAnsi" w:hAnsiTheme="minorHAnsi" w:cstheme="minorHAnsi"/>
          <w:bCs/>
          <w:sz w:val="23"/>
          <w:szCs w:val="23"/>
          <w:lang w:val="el-GR"/>
        </w:rPr>
        <w:t xml:space="preserve">Οι φοιτητές/τριες έχουν δικαίωμα άσκησης </w:t>
      </w:r>
      <w:r w:rsidRPr="006A1361">
        <w:rPr>
          <w:rFonts w:asciiTheme="minorHAnsi" w:hAnsiTheme="minorHAnsi" w:cstheme="minorHAnsi"/>
          <w:b/>
          <w:sz w:val="23"/>
          <w:szCs w:val="23"/>
          <w:lang w:val="el-GR"/>
        </w:rPr>
        <w:t>αίτησης θεραπείας</w:t>
      </w:r>
      <w:r w:rsidRPr="00DE1ABD">
        <w:rPr>
          <w:rFonts w:asciiTheme="minorHAnsi" w:hAnsiTheme="minorHAnsi" w:cstheme="minorHAnsi"/>
          <w:bCs/>
          <w:sz w:val="23"/>
          <w:szCs w:val="23"/>
          <w:lang w:val="el-GR"/>
        </w:rPr>
        <w:t xml:space="preserve"> </w:t>
      </w:r>
      <w:r w:rsidR="006A1361">
        <w:rPr>
          <w:rFonts w:asciiTheme="minorHAnsi" w:hAnsiTheme="minorHAnsi" w:cstheme="minorHAnsi"/>
          <w:bCs/>
          <w:sz w:val="23"/>
          <w:szCs w:val="23"/>
          <w:lang w:val="el-GR"/>
        </w:rPr>
        <w:t>στη</w:t>
      </w:r>
      <w:r w:rsidRPr="00DE1ABD">
        <w:rPr>
          <w:rFonts w:asciiTheme="minorHAnsi" w:hAnsiTheme="minorHAnsi" w:cstheme="minorHAnsi"/>
          <w:bCs/>
          <w:sz w:val="23"/>
          <w:szCs w:val="23"/>
          <w:lang w:val="el-GR"/>
        </w:rPr>
        <w:t xml:space="preserve"> Γραμματεία του Τμήματος εντός αποκλειστικής προθεσμίας </w:t>
      </w:r>
      <w:r w:rsidRPr="006A1361">
        <w:rPr>
          <w:rFonts w:asciiTheme="minorHAnsi" w:hAnsiTheme="minorHAnsi" w:cstheme="minorHAnsi"/>
          <w:b/>
          <w:sz w:val="23"/>
          <w:szCs w:val="23"/>
          <w:lang w:val="el-GR"/>
        </w:rPr>
        <w:t xml:space="preserve">δέκα (10) ημερολογιακών ημερών </w:t>
      </w:r>
      <w:r w:rsidRPr="00DE1ABD">
        <w:rPr>
          <w:rFonts w:asciiTheme="minorHAnsi" w:hAnsiTheme="minorHAnsi" w:cstheme="minorHAnsi"/>
          <w:bCs/>
          <w:sz w:val="23"/>
          <w:szCs w:val="23"/>
          <w:lang w:val="el-GR"/>
        </w:rPr>
        <w:t>από την αποστολή της ενημέρωσης, αποκλειστικά για λόγους που άπτονται της μη συνδρομής των προϋποθέσεων διαγραφής στο πρόσωπό τους.</w:t>
      </w:r>
    </w:p>
    <w:p w14:paraId="1C3CCB11" w14:textId="2546C679" w:rsidR="004547C9" w:rsidRPr="00DE1ABD" w:rsidRDefault="00BB7691" w:rsidP="00DE1ABD">
      <w:pPr>
        <w:tabs>
          <w:tab w:val="left" w:pos="5812"/>
        </w:tabs>
        <w:spacing w:line="264" w:lineRule="auto"/>
        <w:ind w:firstLine="142"/>
        <w:jc w:val="both"/>
        <w:rPr>
          <w:rFonts w:asciiTheme="minorHAnsi" w:hAnsiTheme="minorHAnsi" w:cstheme="minorHAnsi"/>
          <w:bCs/>
          <w:sz w:val="23"/>
          <w:szCs w:val="23"/>
          <w:lang w:val="el-GR"/>
        </w:rPr>
      </w:pPr>
      <w:r w:rsidRPr="00DE1ABD">
        <w:rPr>
          <w:rFonts w:asciiTheme="minorHAnsi" w:hAnsiTheme="minorHAnsi" w:cstheme="minorHAnsi"/>
          <w:bCs/>
          <w:sz w:val="23"/>
          <w:szCs w:val="23"/>
          <w:lang w:val="el-GR"/>
        </w:rPr>
        <w:t>Οι αιτήσεις θεραπείας αξιολογούνται εντός αποκλειστικής προθεσμίας εξήντα (60) ημερολογιακών ημερών από την υποβολή τους και εκδίδεται απόφαση της Συνέλευσης του Τμήματος επί αυτών. Εάν παρέλθει άπρακτη η προθεσμία του προηγούμενου εδαφίου, η αίτηση θεραπείας θεωρείται απορριφθείσα.</w:t>
      </w:r>
    </w:p>
    <w:p w14:paraId="3342CF96" w14:textId="4A1C6EEC" w:rsidR="004547C9" w:rsidRPr="00DE1ABD" w:rsidRDefault="004547C9" w:rsidP="007F5B5D">
      <w:pPr>
        <w:tabs>
          <w:tab w:val="left" w:pos="5812"/>
        </w:tabs>
        <w:spacing w:before="80" w:line="264" w:lineRule="auto"/>
        <w:ind w:firstLine="142"/>
        <w:jc w:val="both"/>
        <w:rPr>
          <w:rFonts w:asciiTheme="minorHAnsi" w:hAnsiTheme="minorHAnsi" w:cstheme="minorHAnsi"/>
          <w:bCs/>
          <w:sz w:val="23"/>
          <w:szCs w:val="23"/>
          <w:lang w:val="el-GR"/>
        </w:rPr>
      </w:pPr>
      <w:bookmarkStart w:id="0" w:name="_Hlk217900842"/>
      <w:r w:rsidRPr="00DE1ABD">
        <w:rPr>
          <w:rFonts w:asciiTheme="minorHAnsi" w:hAnsiTheme="minorHAnsi" w:cstheme="minorHAnsi"/>
          <w:bCs/>
          <w:sz w:val="23"/>
          <w:szCs w:val="23"/>
          <w:lang w:val="el-GR"/>
        </w:rPr>
        <w:t>Οι φοιτητές/τριες του ανωτέρω καταλόγου δύνανται με αίτηση τους να λάβουν από την Γραμματεία του Τμήματος, πιστοποιητικό, στο οποίο αναγράφονται:</w:t>
      </w:r>
    </w:p>
    <w:p w14:paraId="364D34F8" w14:textId="0097F4D3" w:rsidR="004547C9" w:rsidRPr="00DE1ABD" w:rsidRDefault="004547C9" w:rsidP="004547C9">
      <w:pPr>
        <w:tabs>
          <w:tab w:val="left" w:pos="5812"/>
        </w:tabs>
        <w:spacing w:line="264" w:lineRule="auto"/>
        <w:jc w:val="both"/>
        <w:rPr>
          <w:rFonts w:asciiTheme="minorHAnsi" w:hAnsiTheme="minorHAnsi" w:cstheme="minorHAnsi"/>
          <w:bCs/>
          <w:sz w:val="23"/>
          <w:szCs w:val="23"/>
          <w:lang w:val="el-GR"/>
        </w:rPr>
      </w:pPr>
      <w:r w:rsidRPr="00DE1ABD">
        <w:rPr>
          <w:rFonts w:asciiTheme="minorHAnsi" w:hAnsiTheme="minorHAnsi" w:cstheme="minorHAnsi"/>
          <w:bCs/>
          <w:sz w:val="23"/>
          <w:szCs w:val="23"/>
          <w:lang w:val="el-GR"/>
        </w:rPr>
        <w:t>α. Το ακαδημαϊκό έτος εγγραφής,</w:t>
      </w:r>
    </w:p>
    <w:p w14:paraId="5570DD46" w14:textId="4B36639A" w:rsidR="004547C9" w:rsidRPr="00DE1ABD" w:rsidRDefault="004547C9" w:rsidP="004547C9">
      <w:pPr>
        <w:tabs>
          <w:tab w:val="left" w:pos="5812"/>
        </w:tabs>
        <w:spacing w:line="264" w:lineRule="auto"/>
        <w:jc w:val="both"/>
        <w:rPr>
          <w:rFonts w:asciiTheme="minorHAnsi" w:hAnsiTheme="minorHAnsi" w:cstheme="minorHAnsi"/>
          <w:bCs/>
          <w:sz w:val="23"/>
          <w:szCs w:val="23"/>
          <w:lang w:val="el-GR"/>
        </w:rPr>
      </w:pPr>
      <w:r w:rsidRPr="00DE1ABD">
        <w:rPr>
          <w:rFonts w:asciiTheme="minorHAnsi" w:hAnsiTheme="minorHAnsi" w:cstheme="minorHAnsi"/>
          <w:bCs/>
          <w:sz w:val="23"/>
          <w:szCs w:val="23"/>
          <w:lang w:val="el-GR"/>
        </w:rPr>
        <w:t>β. η ημερομηνία συμπλήρωσης της ανώτατης χρονικής διάρκειας,</w:t>
      </w:r>
    </w:p>
    <w:p w14:paraId="35CC4288" w14:textId="7BD23B35" w:rsidR="004547C9" w:rsidRPr="00DE1ABD" w:rsidRDefault="004547C9" w:rsidP="004547C9">
      <w:pPr>
        <w:tabs>
          <w:tab w:val="left" w:pos="5812"/>
        </w:tabs>
        <w:spacing w:line="264" w:lineRule="auto"/>
        <w:jc w:val="both"/>
        <w:rPr>
          <w:rFonts w:asciiTheme="minorHAnsi" w:hAnsiTheme="minorHAnsi" w:cstheme="minorHAnsi"/>
          <w:bCs/>
          <w:sz w:val="23"/>
          <w:szCs w:val="23"/>
          <w:lang w:val="el-GR"/>
        </w:rPr>
      </w:pPr>
      <w:r w:rsidRPr="00DE1ABD">
        <w:rPr>
          <w:rFonts w:asciiTheme="minorHAnsi" w:hAnsiTheme="minorHAnsi" w:cstheme="minorHAnsi"/>
          <w:bCs/>
          <w:sz w:val="23"/>
          <w:szCs w:val="23"/>
          <w:lang w:val="el-GR"/>
        </w:rPr>
        <w:t>γ. τα μαθήματα και οι λοιπές εκπαιδευτικές δραστηριότητες στις οποίες έχει αξιολογηθεί επιτυχώς ο/η φοιτητής/τρια σύμφωνα με το ισχύον πρόγραμμα σπουδών,</w:t>
      </w:r>
    </w:p>
    <w:p w14:paraId="2C0D4EAF" w14:textId="21314FE1" w:rsidR="004547C9" w:rsidRPr="00DE1ABD" w:rsidRDefault="004547C9" w:rsidP="004547C9">
      <w:pPr>
        <w:tabs>
          <w:tab w:val="left" w:pos="5812"/>
        </w:tabs>
        <w:spacing w:line="264" w:lineRule="auto"/>
        <w:jc w:val="both"/>
        <w:rPr>
          <w:rFonts w:asciiTheme="minorHAnsi" w:hAnsiTheme="minorHAnsi" w:cstheme="minorHAnsi"/>
          <w:bCs/>
          <w:sz w:val="23"/>
          <w:szCs w:val="23"/>
          <w:lang w:val="el-GR"/>
        </w:rPr>
      </w:pPr>
      <w:r w:rsidRPr="00DE1ABD">
        <w:rPr>
          <w:rFonts w:asciiTheme="minorHAnsi" w:hAnsiTheme="minorHAnsi" w:cstheme="minorHAnsi"/>
          <w:bCs/>
          <w:sz w:val="23"/>
          <w:szCs w:val="23"/>
          <w:lang w:val="el-GR"/>
        </w:rPr>
        <w:t>δ. η βαθμολογία που έχει λάβει ο/η φοιτητής/τρια ανά μάθημα ή άλλη εκπαιδευτική δραστηριότητα στην οποία έχει αξιολογηθεί επιτυχώς και</w:t>
      </w:r>
    </w:p>
    <w:p w14:paraId="5BB68C64" w14:textId="24F68AA3" w:rsidR="004547C9" w:rsidRPr="00DE1ABD" w:rsidRDefault="004547C9" w:rsidP="004547C9">
      <w:pPr>
        <w:tabs>
          <w:tab w:val="left" w:pos="5812"/>
        </w:tabs>
        <w:spacing w:line="264" w:lineRule="auto"/>
        <w:jc w:val="both"/>
        <w:rPr>
          <w:rFonts w:asciiTheme="minorHAnsi" w:hAnsiTheme="minorHAnsi" w:cstheme="minorHAnsi"/>
          <w:bCs/>
          <w:sz w:val="23"/>
          <w:szCs w:val="23"/>
          <w:lang w:val="el-GR"/>
        </w:rPr>
      </w:pPr>
      <w:r w:rsidRPr="00DE1ABD">
        <w:rPr>
          <w:rFonts w:asciiTheme="minorHAnsi" w:hAnsiTheme="minorHAnsi" w:cstheme="minorHAnsi"/>
          <w:bCs/>
          <w:sz w:val="23"/>
          <w:szCs w:val="23"/>
          <w:lang w:val="el-GR"/>
        </w:rPr>
        <w:t xml:space="preserve">ε. ο συνολικός αριθμός πιστωτικών μονάδων </w:t>
      </w:r>
      <w:r w:rsidRPr="00DE1ABD">
        <w:rPr>
          <w:rFonts w:asciiTheme="minorHAnsi" w:hAnsiTheme="minorHAnsi" w:cstheme="minorHAnsi"/>
          <w:bCs/>
          <w:sz w:val="23"/>
          <w:szCs w:val="23"/>
        </w:rPr>
        <w:t>ECTS</w:t>
      </w:r>
      <w:r w:rsidRPr="00DE1ABD">
        <w:rPr>
          <w:rFonts w:asciiTheme="minorHAnsi" w:hAnsiTheme="minorHAnsi" w:cstheme="minorHAnsi"/>
          <w:bCs/>
          <w:sz w:val="23"/>
          <w:szCs w:val="23"/>
          <w:lang w:val="el-GR"/>
        </w:rPr>
        <w:t xml:space="preserve"> που έχει συγκεντρώσει.</w:t>
      </w:r>
    </w:p>
    <w:p w14:paraId="54AC0A60" w14:textId="4BEF0778" w:rsidR="004547C9" w:rsidRPr="00DE1ABD" w:rsidRDefault="00DE1ABD" w:rsidP="007F5B5D">
      <w:pPr>
        <w:tabs>
          <w:tab w:val="left" w:pos="5812"/>
        </w:tabs>
        <w:spacing w:line="264" w:lineRule="auto"/>
        <w:ind w:firstLine="142"/>
        <w:jc w:val="both"/>
        <w:rPr>
          <w:rFonts w:asciiTheme="minorHAnsi" w:hAnsiTheme="minorHAnsi" w:cstheme="minorHAnsi"/>
          <w:bCs/>
          <w:sz w:val="23"/>
          <w:szCs w:val="23"/>
          <w:lang w:val="el-GR"/>
        </w:rPr>
      </w:pPr>
      <w:r w:rsidRPr="00DE1ABD">
        <w:rPr>
          <w:rFonts w:asciiTheme="minorHAnsi" w:hAnsiTheme="minorHAnsi" w:cstheme="minorHAnsi"/>
          <w:bCs/>
          <w:sz w:val="23"/>
          <w:szCs w:val="23"/>
          <w:lang w:val="el-GR"/>
        </w:rPr>
        <w:t>Το πιστοποιητικό εκδίδεται για κάθε νόμιμη χρήση και δε συνιστά τίτλο σπουδών ή πιστοποιητικό περάτωσης σπουδών.</w:t>
      </w:r>
    </w:p>
    <w:p w14:paraId="7606A034" w14:textId="70BDACE6" w:rsidR="004547C9" w:rsidRPr="00DE1ABD" w:rsidRDefault="006A1361" w:rsidP="00DE1ABD">
      <w:pPr>
        <w:tabs>
          <w:tab w:val="left" w:pos="5812"/>
        </w:tabs>
        <w:spacing w:before="120" w:line="264" w:lineRule="auto"/>
        <w:jc w:val="both"/>
        <w:rPr>
          <w:rFonts w:asciiTheme="minorHAnsi" w:hAnsiTheme="minorHAnsi" w:cstheme="minorHAnsi"/>
          <w:bCs/>
          <w:sz w:val="23"/>
          <w:szCs w:val="23"/>
          <w:lang w:val="el-GR"/>
        </w:rPr>
      </w:pPr>
      <w:r>
        <w:rPr>
          <w:rFonts w:asciiTheme="minorHAnsi" w:hAnsiTheme="minorHAnsi" w:cstheme="minorHAnsi"/>
          <w:b/>
          <w:sz w:val="23"/>
          <w:szCs w:val="23"/>
          <w:u w:val="single"/>
          <w:lang w:val="el-GR"/>
        </w:rPr>
        <w:t>Σημαντικό</w:t>
      </w:r>
      <w:r w:rsidR="00DE1ABD" w:rsidRPr="00DE1ABD">
        <w:rPr>
          <w:rFonts w:asciiTheme="minorHAnsi" w:hAnsiTheme="minorHAnsi" w:cstheme="minorHAnsi"/>
          <w:b/>
          <w:sz w:val="23"/>
          <w:szCs w:val="23"/>
          <w:u w:val="single"/>
          <w:lang w:val="el-GR"/>
        </w:rPr>
        <w:t>:</w:t>
      </w:r>
      <w:r w:rsidR="00DE1ABD" w:rsidRPr="00DE1ABD">
        <w:rPr>
          <w:rFonts w:asciiTheme="minorHAnsi" w:hAnsiTheme="minorHAnsi" w:cstheme="minorHAnsi"/>
          <w:bCs/>
          <w:sz w:val="23"/>
          <w:szCs w:val="23"/>
          <w:lang w:val="el-GR"/>
        </w:rPr>
        <w:t xml:space="preserve"> </w:t>
      </w:r>
      <w:r w:rsidR="004547C9" w:rsidRPr="00DE1ABD">
        <w:rPr>
          <w:rFonts w:asciiTheme="minorHAnsi" w:hAnsiTheme="minorHAnsi" w:cstheme="minorHAnsi"/>
          <w:bCs/>
          <w:sz w:val="23"/>
          <w:szCs w:val="23"/>
          <w:lang w:val="el-GR"/>
        </w:rPr>
        <w:t>Το εν λόγω πιστοποιητικό δύναται να χρησιμοποιηθεί όπου προβλέπεται η εφαρμογή ευρωπαϊκού συστήματος μεταφοράς και συσσώρευσης πιστωτικών μονάδων (</w:t>
      </w:r>
      <w:r w:rsidR="004547C9" w:rsidRPr="00DE1ABD">
        <w:rPr>
          <w:rFonts w:asciiTheme="minorHAnsi" w:hAnsiTheme="minorHAnsi" w:cstheme="minorHAnsi"/>
          <w:bCs/>
          <w:sz w:val="23"/>
          <w:szCs w:val="23"/>
        </w:rPr>
        <w:t>ECTS</w:t>
      </w:r>
      <w:r w:rsidR="004547C9" w:rsidRPr="00DE1ABD">
        <w:rPr>
          <w:rFonts w:asciiTheme="minorHAnsi" w:hAnsiTheme="minorHAnsi" w:cstheme="minorHAnsi"/>
          <w:bCs/>
          <w:sz w:val="23"/>
          <w:szCs w:val="23"/>
          <w:lang w:val="el-GR"/>
        </w:rPr>
        <w:t>) καθώς και για τη συμμετοχή σε κατατακτήριες εξετάσεις Τμήματος ή Μονοτμηματικής Σχολής Α.Ε.Ι., διαφορετικής από αυτή που διεγράφη ο φοιτητής/τρια, εφόσον έχει συγκεντρώσει τουλάχιστον εκατόν είκοσι (120) πιστωτικές μονάδες και το Τμήμα ή Μονοτμηματική Σχολή επιτρέπει τη συμμετοχή αυτής της κατηγορίας υποψηφίων</w:t>
      </w:r>
      <w:bookmarkEnd w:id="0"/>
      <w:r w:rsidR="00DE1ABD">
        <w:rPr>
          <w:rFonts w:asciiTheme="minorHAnsi" w:hAnsiTheme="minorHAnsi" w:cstheme="minorHAnsi"/>
          <w:bCs/>
          <w:sz w:val="23"/>
          <w:szCs w:val="23"/>
          <w:lang w:val="el-GR"/>
        </w:rPr>
        <w:t>.</w:t>
      </w:r>
    </w:p>
    <w:sectPr w:rsidR="004547C9" w:rsidRPr="00DE1ABD" w:rsidSect="00DE1ABD">
      <w:footerReference w:type="default" r:id="rId9"/>
      <w:type w:val="continuous"/>
      <w:pgSz w:w="11906" w:h="16838"/>
      <w:pgMar w:top="426" w:right="566" w:bottom="851" w:left="709" w:header="708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FDC27" w14:textId="77777777" w:rsidR="00C268CB" w:rsidRDefault="00C268CB" w:rsidP="00194A44">
      <w:r>
        <w:separator/>
      </w:r>
    </w:p>
  </w:endnote>
  <w:endnote w:type="continuationSeparator" w:id="0">
    <w:p w14:paraId="44AD3DE0" w14:textId="77777777" w:rsidR="00C268CB" w:rsidRDefault="00C268CB" w:rsidP="0019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9E6E" w14:textId="77777777" w:rsidR="00A070BB" w:rsidRPr="00D261C3" w:rsidRDefault="006917BF" w:rsidP="00A070BB">
    <w:pPr>
      <w:pStyle w:val="Footer"/>
      <w:pBdr>
        <w:top w:val="single" w:sz="4" w:space="2" w:color="auto"/>
      </w:pBdr>
      <w:tabs>
        <w:tab w:val="clear" w:pos="8306"/>
      </w:tabs>
      <w:ind w:left="-709" w:right="-851"/>
      <w:jc w:val="center"/>
      <w:rPr>
        <w:rFonts w:ascii="Arial" w:hAnsi="Arial" w:cs="Tahoma"/>
        <w:color w:val="7F2F2D"/>
        <w:spacing w:val="10"/>
        <w:sz w:val="15"/>
        <w:szCs w:val="15"/>
        <w:lang w:val="el-GR"/>
        <w14:textFill>
          <w14:solidFill>
            <w14:srgbClr w14:val="7F2F2D">
              <w14:lumMod w14:val="75000"/>
            </w14:srgbClr>
          </w14:solidFill>
        </w14:textFill>
      </w:rPr>
    </w:pPr>
    <w:r w:rsidRPr="00D261C3">
      <w:rPr>
        <w:rFonts w:ascii="Arial" w:hAnsi="Arial" w:cs="Tahoma"/>
        <w:color w:val="7F2F2D"/>
        <w:spacing w:val="10"/>
        <w:sz w:val="15"/>
        <w:szCs w:val="15"/>
        <w:lang w:val="el-GR"/>
      </w:rPr>
      <w:t>Τμήμα Φυσικής</w:t>
    </w:r>
    <w:r w:rsidR="00A070BB" w:rsidRPr="00D261C3">
      <w:rPr>
        <w:rFonts w:ascii="Arial" w:hAnsi="Arial" w:cs="Tahoma"/>
        <w:color w:val="7F2F2D"/>
        <w:spacing w:val="10"/>
        <w:sz w:val="15"/>
        <w:szCs w:val="15"/>
        <w:lang w:val="el-GR"/>
        <w14:textFill>
          <w14:solidFill>
            <w14:srgbClr w14:val="7F2F2D">
              <w14:lumMod w14:val="75000"/>
            </w14:srgbClr>
          </w14:solidFill>
        </w14:textFill>
      </w:rPr>
      <w:t xml:space="preserve"> </w:t>
    </w:r>
    <w:r w:rsidRPr="00D261C3">
      <w:rPr>
        <w:rFonts w:ascii="Arial" w:hAnsi="Arial" w:cs="Tahoma"/>
        <w:color w:val="7F2F2D"/>
        <w:spacing w:val="10"/>
        <w:sz w:val="15"/>
        <w:szCs w:val="15"/>
        <w:lang w:val="el-GR"/>
      </w:rPr>
      <w:t>–</w:t>
    </w:r>
    <w:r w:rsidR="00A070BB" w:rsidRPr="00D261C3">
      <w:rPr>
        <w:rFonts w:ascii="Arial" w:hAnsi="Arial" w:cs="Tahoma"/>
        <w:color w:val="7F2F2D"/>
        <w:spacing w:val="10"/>
        <w:sz w:val="15"/>
        <w:szCs w:val="15"/>
        <w:lang w:val="el-GR"/>
        <w14:textFill>
          <w14:solidFill>
            <w14:srgbClr w14:val="7F2F2D">
              <w14:lumMod w14:val="75000"/>
            </w14:srgbClr>
          </w14:solidFill>
        </w14:textFill>
      </w:rPr>
      <w:t xml:space="preserve"> </w:t>
    </w:r>
    <w:r w:rsidRPr="00D261C3">
      <w:rPr>
        <w:rFonts w:ascii="Arial" w:hAnsi="Arial" w:cs="Tahoma"/>
        <w:color w:val="7F2F2D"/>
        <w:spacing w:val="10"/>
        <w:sz w:val="15"/>
        <w:szCs w:val="15"/>
        <w:lang w:val="el-GR"/>
      </w:rPr>
      <w:t>Σχολή Θετικών Επιστημών</w:t>
    </w:r>
    <w:r w:rsidR="00A070BB" w:rsidRPr="00D261C3">
      <w:rPr>
        <w:rFonts w:ascii="Arial" w:hAnsi="Arial" w:cs="Tahoma"/>
        <w:color w:val="7F2F2D"/>
        <w:spacing w:val="10"/>
        <w:sz w:val="15"/>
        <w:szCs w:val="15"/>
        <w:lang w:val="el-GR"/>
        <w14:textFill>
          <w14:solidFill>
            <w14:srgbClr w14:val="7F2F2D">
              <w14:lumMod w14:val="75000"/>
            </w14:srgbClr>
          </w14:solidFill>
        </w14:textFill>
      </w:rPr>
      <w:t xml:space="preserve"> </w:t>
    </w:r>
    <w:r w:rsidRPr="00D261C3">
      <w:rPr>
        <w:rFonts w:ascii="Arial" w:hAnsi="Arial" w:cs="Tahoma"/>
        <w:color w:val="7F2F2D"/>
        <w:spacing w:val="10"/>
        <w:sz w:val="15"/>
        <w:szCs w:val="15"/>
        <w:lang w:val="el-GR"/>
      </w:rPr>
      <w:t>–</w:t>
    </w:r>
    <w:r w:rsidR="00A070BB" w:rsidRPr="00D261C3">
      <w:rPr>
        <w:rFonts w:ascii="Arial" w:hAnsi="Arial" w:cs="Tahoma"/>
        <w:color w:val="7F2F2D"/>
        <w:spacing w:val="10"/>
        <w:sz w:val="15"/>
        <w:szCs w:val="15"/>
        <w:lang w:val="el-GR"/>
        <w14:textFill>
          <w14:solidFill>
            <w14:srgbClr w14:val="7F2F2D">
              <w14:lumMod w14:val="75000"/>
            </w14:srgbClr>
          </w14:solidFill>
        </w14:textFill>
      </w:rPr>
      <w:t xml:space="preserve"> </w:t>
    </w:r>
    <w:r w:rsidRPr="00D261C3">
      <w:rPr>
        <w:rFonts w:ascii="Arial" w:hAnsi="Arial" w:cs="Tahoma"/>
        <w:color w:val="7F2F2D"/>
        <w:spacing w:val="10"/>
        <w:sz w:val="15"/>
        <w:szCs w:val="15"/>
        <w:lang w:val="el-GR"/>
      </w:rPr>
      <w:t>Α</w:t>
    </w:r>
    <w:r w:rsidR="00A070BB" w:rsidRPr="00D261C3">
      <w:rPr>
        <w:rFonts w:ascii="Arial" w:hAnsi="Arial" w:cs="Tahoma"/>
        <w:color w:val="7F2F2D"/>
        <w:spacing w:val="10"/>
        <w:sz w:val="15"/>
        <w:szCs w:val="15"/>
        <w:lang w:val="el-GR"/>
        <w14:textFill>
          <w14:solidFill>
            <w14:srgbClr w14:val="7F2F2D">
              <w14:lumMod w14:val="75000"/>
            </w14:srgbClr>
          </w14:solidFill>
        </w14:textFill>
      </w:rPr>
      <w:t xml:space="preserve">ριστοτέλειο </w:t>
    </w:r>
    <w:r w:rsidRPr="00D261C3">
      <w:rPr>
        <w:rFonts w:ascii="Arial" w:hAnsi="Arial" w:cs="Tahoma"/>
        <w:color w:val="7F2F2D"/>
        <w:spacing w:val="10"/>
        <w:sz w:val="15"/>
        <w:szCs w:val="15"/>
        <w:lang w:val="el-GR"/>
      </w:rPr>
      <w:t>Π</w:t>
    </w:r>
    <w:r w:rsidR="00A070BB" w:rsidRPr="00D261C3">
      <w:rPr>
        <w:rFonts w:ascii="Arial" w:hAnsi="Arial" w:cs="Tahoma"/>
        <w:color w:val="7F2F2D"/>
        <w:spacing w:val="10"/>
        <w:sz w:val="15"/>
        <w:szCs w:val="15"/>
        <w:lang w:val="el-GR"/>
        <w14:textFill>
          <w14:solidFill>
            <w14:srgbClr w14:val="7F2F2D">
              <w14:lumMod w14:val="75000"/>
            </w14:srgbClr>
          </w14:solidFill>
        </w14:textFill>
      </w:rPr>
      <w:t xml:space="preserve">ανεπιστήμιο </w:t>
    </w:r>
    <w:r w:rsidRPr="00D261C3">
      <w:rPr>
        <w:rFonts w:ascii="Arial" w:hAnsi="Arial" w:cs="Tahoma"/>
        <w:color w:val="7F2F2D"/>
        <w:spacing w:val="10"/>
        <w:sz w:val="15"/>
        <w:szCs w:val="15"/>
        <w:lang w:val="el-GR"/>
      </w:rPr>
      <w:t>Θ</w:t>
    </w:r>
    <w:r w:rsidR="00A070BB" w:rsidRPr="00D261C3">
      <w:rPr>
        <w:rFonts w:ascii="Arial" w:hAnsi="Arial" w:cs="Tahoma"/>
        <w:color w:val="7F2F2D"/>
        <w:spacing w:val="10"/>
        <w:sz w:val="15"/>
        <w:szCs w:val="15"/>
        <w:lang w:val="el-GR"/>
        <w14:textFill>
          <w14:solidFill>
            <w14:srgbClr w14:val="7F2F2D">
              <w14:lumMod w14:val="75000"/>
            </w14:srgbClr>
          </w14:solidFill>
        </w14:textFill>
      </w:rPr>
      <w:t>εσσαλονίκης</w:t>
    </w:r>
    <w:r w:rsidR="00194A44" w:rsidRPr="00D261C3">
      <w:rPr>
        <w:rFonts w:ascii="Arial" w:hAnsi="Arial" w:cs="Tahoma"/>
        <w:color w:val="7F2F2D"/>
        <w:spacing w:val="10"/>
        <w:sz w:val="15"/>
        <w:szCs w:val="15"/>
        <w:lang w:val="el-GR"/>
      </w:rPr>
      <w:t xml:space="preserve"> </w:t>
    </w:r>
    <w:r w:rsidR="00194A44" w:rsidRPr="00D261C3">
      <w:rPr>
        <w:rFonts w:ascii="Arial" w:hAnsi="Arial" w:cs="Arial"/>
        <w:color w:val="7F2F2D"/>
        <w:spacing w:val="10"/>
        <w:sz w:val="15"/>
        <w:szCs w:val="15"/>
        <w:lang w:val="el-GR"/>
      </w:rPr>
      <w:t>■</w:t>
    </w:r>
    <w:r w:rsidR="00194A44" w:rsidRPr="00D261C3">
      <w:rPr>
        <w:rFonts w:ascii="Arial" w:hAnsi="Arial" w:cs="Tahoma"/>
        <w:color w:val="7F2F2D"/>
        <w:spacing w:val="10"/>
        <w:sz w:val="15"/>
        <w:szCs w:val="15"/>
        <w:lang w:val="el-GR"/>
      </w:rPr>
      <w:t xml:space="preserve"> </w:t>
    </w:r>
    <w:r w:rsidRPr="00D261C3">
      <w:rPr>
        <w:rFonts w:ascii="Arial" w:hAnsi="Arial" w:cs="Tahoma"/>
        <w:color w:val="7F2F2D"/>
        <w:spacing w:val="10"/>
        <w:sz w:val="15"/>
        <w:szCs w:val="15"/>
        <w:lang w:val="el-GR"/>
      </w:rPr>
      <w:t xml:space="preserve">Πανεπιστημιούπολη </w:t>
    </w:r>
    <w:r w:rsidR="00194A44" w:rsidRPr="00D261C3">
      <w:rPr>
        <w:rFonts w:ascii="Arial" w:hAnsi="Arial" w:cs="Tahoma"/>
        <w:color w:val="7F2F2D"/>
        <w:spacing w:val="10"/>
        <w:sz w:val="15"/>
        <w:szCs w:val="15"/>
        <w:lang w:val="el-GR"/>
      </w:rPr>
      <w:t>541 24 ΘΕΣΣΑΛΟΝΙΚΗ</w:t>
    </w:r>
  </w:p>
  <w:p w14:paraId="60F7A911" w14:textId="77777777" w:rsidR="00194A44" w:rsidRPr="006917BF" w:rsidRDefault="00194A44" w:rsidP="00A070BB">
    <w:pPr>
      <w:pStyle w:val="Footer"/>
      <w:pBdr>
        <w:top w:val="single" w:sz="4" w:space="2" w:color="auto"/>
      </w:pBdr>
      <w:tabs>
        <w:tab w:val="clear" w:pos="8306"/>
      </w:tabs>
      <w:spacing w:before="80"/>
      <w:ind w:left="-709" w:right="-851"/>
      <w:jc w:val="center"/>
      <w:rPr>
        <w:rFonts w:ascii="Arial" w:hAnsi="Arial" w:cs="Tahoma"/>
        <w:spacing w:val="10"/>
        <w:sz w:val="15"/>
        <w:szCs w:val="15"/>
        <w:u w:val="single"/>
        <w:lang w:val="el-GR"/>
      </w:rPr>
    </w:pPr>
    <w:r w:rsidRPr="00D261C3">
      <w:rPr>
        <w:rFonts w:ascii="Arial" w:hAnsi="Arial" w:cs="Tahoma"/>
        <w:color w:val="7F2F2D"/>
        <w:spacing w:val="10"/>
        <w:sz w:val="15"/>
        <w:szCs w:val="15"/>
        <w:lang w:val="el-GR"/>
      </w:rPr>
      <w:t xml:space="preserve">Τηλ. Κέντρο </w:t>
    </w:r>
    <w:r w:rsidRPr="00D261C3">
      <w:rPr>
        <w:rFonts w:ascii="Arial" w:hAnsi="Arial" w:cs="Tahoma"/>
        <w:color w:val="7F2F2D"/>
        <w:sz w:val="15"/>
        <w:szCs w:val="15"/>
        <w:lang w:val="el-GR"/>
      </w:rPr>
      <w:t xml:space="preserve">2310 99 </w:t>
    </w:r>
    <w:r w:rsidR="006917BF" w:rsidRPr="00D261C3">
      <w:rPr>
        <w:rFonts w:ascii="Arial" w:hAnsi="Arial" w:cs="Tahoma"/>
        <w:color w:val="7F2F2D"/>
        <w:sz w:val="15"/>
        <w:szCs w:val="15"/>
        <w:lang w:val="el-GR"/>
      </w:rPr>
      <w:t>8120</w:t>
    </w:r>
    <w:r w:rsidRPr="00D261C3">
      <w:rPr>
        <w:rFonts w:ascii="Arial" w:hAnsi="Arial" w:cs="Tahoma"/>
        <w:color w:val="7F2F2D"/>
        <w:spacing w:val="10"/>
        <w:sz w:val="15"/>
        <w:szCs w:val="15"/>
        <w:lang w:val="el-GR"/>
      </w:rPr>
      <w:t xml:space="preserve"> </w:t>
    </w:r>
    <w:r w:rsidRPr="00D261C3">
      <w:rPr>
        <w:rFonts w:ascii="Arial" w:hAnsi="Arial" w:cs="Arial"/>
        <w:color w:val="7F2F2D"/>
        <w:spacing w:val="10"/>
        <w:sz w:val="15"/>
        <w:szCs w:val="15"/>
        <w:lang w:val="el-GR"/>
      </w:rPr>
      <w:t>■</w:t>
    </w:r>
    <w:r w:rsidRPr="00D261C3">
      <w:rPr>
        <w:rFonts w:ascii="Arial" w:hAnsi="Arial" w:cs="Arial"/>
        <w:color w:val="943634" w:themeColor="accent2" w:themeShade="BF"/>
        <w:spacing w:val="10"/>
        <w:sz w:val="15"/>
        <w:szCs w:val="15"/>
        <w:lang w:val="el-GR"/>
      </w:rPr>
      <w:t xml:space="preserve"> </w:t>
    </w:r>
    <w:hyperlink r:id="rId1" w:history="1">
      <w:r w:rsidR="006917BF" w:rsidRPr="006917BF">
        <w:rPr>
          <w:rStyle w:val="Hyperlink"/>
          <w:rFonts w:ascii="Arial" w:eastAsiaTheme="majorEastAsia" w:hAnsi="Arial" w:cs="Tahoma"/>
          <w:sz w:val="15"/>
          <w:szCs w:val="15"/>
          <w:lang w:val="en-US"/>
        </w:rPr>
        <w:t>www</w:t>
      </w:r>
      <w:r w:rsidR="006917BF" w:rsidRPr="006917BF">
        <w:rPr>
          <w:rStyle w:val="Hyperlink"/>
          <w:rFonts w:ascii="Arial" w:eastAsiaTheme="majorEastAsia" w:hAnsi="Arial" w:cs="Tahoma"/>
          <w:sz w:val="15"/>
          <w:szCs w:val="15"/>
          <w:lang w:val="el-GR"/>
        </w:rPr>
        <w:t>.</w:t>
      </w:r>
      <w:r w:rsidR="006917BF" w:rsidRPr="006917BF">
        <w:rPr>
          <w:rStyle w:val="Hyperlink"/>
          <w:rFonts w:ascii="Arial" w:eastAsiaTheme="majorEastAsia" w:hAnsi="Arial" w:cs="Tahoma"/>
          <w:sz w:val="15"/>
          <w:szCs w:val="15"/>
          <w:lang w:val="en-US"/>
        </w:rPr>
        <w:t>physics</w:t>
      </w:r>
      <w:r w:rsidR="006917BF" w:rsidRPr="006917BF">
        <w:rPr>
          <w:rStyle w:val="Hyperlink"/>
          <w:rFonts w:ascii="Arial" w:eastAsiaTheme="majorEastAsia" w:hAnsi="Arial" w:cs="Tahoma"/>
          <w:sz w:val="15"/>
          <w:szCs w:val="15"/>
          <w:lang w:val="el-GR"/>
        </w:rPr>
        <w:t>.</w:t>
      </w:r>
      <w:r w:rsidR="006917BF" w:rsidRPr="006917BF">
        <w:rPr>
          <w:rStyle w:val="Hyperlink"/>
          <w:rFonts w:ascii="Arial" w:eastAsiaTheme="majorEastAsia" w:hAnsi="Arial" w:cs="Tahoma"/>
          <w:sz w:val="15"/>
          <w:szCs w:val="15"/>
          <w:lang w:val="en-US"/>
        </w:rPr>
        <w:t>auth</w:t>
      </w:r>
      <w:r w:rsidR="006917BF" w:rsidRPr="006917BF">
        <w:rPr>
          <w:rStyle w:val="Hyperlink"/>
          <w:rFonts w:ascii="Arial" w:eastAsiaTheme="majorEastAsia" w:hAnsi="Arial" w:cs="Tahoma"/>
          <w:sz w:val="15"/>
          <w:szCs w:val="15"/>
          <w:lang w:val="el-GR"/>
        </w:rPr>
        <w:t>.</w:t>
      </w:r>
      <w:r w:rsidR="006917BF" w:rsidRPr="006917BF">
        <w:rPr>
          <w:rStyle w:val="Hyperlink"/>
          <w:rFonts w:ascii="Arial" w:eastAsiaTheme="majorEastAsia" w:hAnsi="Arial" w:cs="Tahoma"/>
          <w:sz w:val="15"/>
          <w:szCs w:val="15"/>
          <w:lang w:val="en-US"/>
        </w:rPr>
        <w:t>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926A" w14:textId="77777777" w:rsidR="00C268CB" w:rsidRDefault="00C268CB" w:rsidP="00194A44">
      <w:r>
        <w:separator/>
      </w:r>
    </w:p>
  </w:footnote>
  <w:footnote w:type="continuationSeparator" w:id="0">
    <w:p w14:paraId="7B94C639" w14:textId="77777777" w:rsidR="00C268CB" w:rsidRDefault="00C268CB" w:rsidP="00194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7AF524F"/>
    <w:multiLevelType w:val="hybridMultilevel"/>
    <w:tmpl w:val="B7166EA2"/>
    <w:lvl w:ilvl="0" w:tplc="05747270">
      <w:numFmt w:val="bullet"/>
      <w:lvlText w:val="-"/>
      <w:lvlJc w:val="left"/>
      <w:pPr>
        <w:ind w:left="4754" w:hanging="360"/>
      </w:pPr>
      <w:rPr>
        <w:rFonts w:ascii="Verdana" w:eastAsiaTheme="majorEastAsi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4" w:hanging="360"/>
      </w:pPr>
      <w:rPr>
        <w:rFonts w:ascii="Wingdings" w:hAnsi="Wingdings" w:hint="default"/>
      </w:rPr>
    </w:lvl>
  </w:abstractNum>
  <w:abstractNum w:abstractNumId="1" w15:restartNumberingAfterBreak="1">
    <w:nsid w:val="4C47165F"/>
    <w:multiLevelType w:val="hybridMultilevel"/>
    <w:tmpl w:val="4F5CEDC6"/>
    <w:lvl w:ilvl="0" w:tplc="4148F9D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B490F"/>
    <w:multiLevelType w:val="hybridMultilevel"/>
    <w:tmpl w:val="313880AC"/>
    <w:lvl w:ilvl="0" w:tplc="AB22D4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75617A5"/>
    <w:multiLevelType w:val="hybridMultilevel"/>
    <w:tmpl w:val="F4365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6211761"/>
    <w:multiLevelType w:val="hybridMultilevel"/>
    <w:tmpl w:val="AE02257E"/>
    <w:lvl w:ilvl="0" w:tplc="340AD25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342521">
    <w:abstractNumId w:val="1"/>
  </w:num>
  <w:num w:numId="2" w16cid:durableId="496045380">
    <w:abstractNumId w:val="0"/>
  </w:num>
  <w:num w:numId="3" w16cid:durableId="43139502">
    <w:abstractNumId w:val="3"/>
  </w:num>
  <w:num w:numId="4" w16cid:durableId="1631670935">
    <w:abstractNumId w:val="4"/>
  </w:num>
  <w:num w:numId="5" w16cid:durableId="1728722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CD"/>
    <w:rsid w:val="00014AF7"/>
    <w:rsid w:val="00025C34"/>
    <w:rsid w:val="000454CC"/>
    <w:rsid w:val="0004769A"/>
    <w:rsid w:val="00060DCB"/>
    <w:rsid w:val="00062CFF"/>
    <w:rsid w:val="00066F2E"/>
    <w:rsid w:val="000A265A"/>
    <w:rsid w:val="000A4064"/>
    <w:rsid w:val="000C1BF7"/>
    <w:rsid w:val="00103B0D"/>
    <w:rsid w:val="00124B68"/>
    <w:rsid w:val="00134C4B"/>
    <w:rsid w:val="001436FB"/>
    <w:rsid w:val="001568AD"/>
    <w:rsid w:val="00180FD7"/>
    <w:rsid w:val="00183CC9"/>
    <w:rsid w:val="00194A44"/>
    <w:rsid w:val="001B2299"/>
    <w:rsid w:val="001B79B9"/>
    <w:rsid w:val="001D7975"/>
    <w:rsid w:val="001E3D63"/>
    <w:rsid w:val="001F0FF1"/>
    <w:rsid w:val="00214BAB"/>
    <w:rsid w:val="00220E07"/>
    <w:rsid w:val="00265F7E"/>
    <w:rsid w:val="00270AE2"/>
    <w:rsid w:val="0027508B"/>
    <w:rsid w:val="00291986"/>
    <w:rsid w:val="00293ECA"/>
    <w:rsid w:val="002B5BCB"/>
    <w:rsid w:val="00327487"/>
    <w:rsid w:val="003305EF"/>
    <w:rsid w:val="003340A7"/>
    <w:rsid w:val="00376F54"/>
    <w:rsid w:val="0037764D"/>
    <w:rsid w:val="0038431A"/>
    <w:rsid w:val="004019B4"/>
    <w:rsid w:val="004547C9"/>
    <w:rsid w:val="00483A7C"/>
    <w:rsid w:val="0049463B"/>
    <w:rsid w:val="004A445D"/>
    <w:rsid w:val="004C79CC"/>
    <w:rsid w:val="004F1771"/>
    <w:rsid w:val="004F3D94"/>
    <w:rsid w:val="004F7624"/>
    <w:rsid w:val="005466C9"/>
    <w:rsid w:val="005F4B58"/>
    <w:rsid w:val="00670F99"/>
    <w:rsid w:val="00691770"/>
    <w:rsid w:val="006917BF"/>
    <w:rsid w:val="006A1361"/>
    <w:rsid w:val="006B2DA9"/>
    <w:rsid w:val="006B38D7"/>
    <w:rsid w:val="006D319C"/>
    <w:rsid w:val="0070448A"/>
    <w:rsid w:val="00736E2C"/>
    <w:rsid w:val="0074097C"/>
    <w:rsid w:val="00741085"/>
    <w:rsid w:val="00773FCF"/>
    <w:rsid w:val="0077735C"/>
    <w:rsid w:val="007B4B67"/>
    <w:rsid w:val="007B762B"/>
    <w:rsid w:val="007E6015"/>
    <w:rsid w:val="007F129E"/>
    <w:rsid w:val="007F52FB"/>
    <w:rsid w:val="007F5B5D"/>
    <w:rsid w:val="008031A4"/>
    <w:rsid w:val="00816E11"/>
    <w:rsid w:val="00857ECC"/>
    <w:rsid w:val="00867A33"/>
    <w:rsid w:val="008865CD"/>
    <w:rsid w:val="008E6F0C"/>
    <w:rsid w:val="008F42EA"/>
    <w:rsid w:val="009165C5"/>
    <w:rsid w:val="0093058A"/>
    <w:rsid w:val="00941F4E"/>
    <w:rsid w:val="00992B9D"/>
    <w:rsid w:val="00992C8C"/>
    <w:rsid w:val="009A0822"/>
    <w:rsid w:val="009B5F6A"/>
    <w:rsid w:val="009F37D5"/>
    <w:rsid w:val="00A044BF"/>
    <w:rsid w:val="00A070BB"/>
    <w:rsid w:val="00A15CE5"/>
    <w:rsid w:val="00A26F74"/>
    <w:rsid w:val="00A3626B"/>
    <w:rsid w:val="00A466BF"/>
    <w:rsid w:val="00A7256B"/>
    <w:rsid w:val="00AA34B7"/>
    <w:rsid w:val="00AA6FF3"/>
    <w:rsid w:val="00AB0690"/>
    <w:rsid w:val="00AD088B"/>
    <w:rsid w:val="00AF298C"/>
    <w:rsid w:val="00B00998"/>
    <w:rsid w:val="00B07451"/>
    <w:rsid w:val="00B32C54"/>
    <w:rsid w:val="00B32D24"/>
    <w:rsid w:val="00BA5A7D"/>
    <w:rsid w:val="00BB7691"/>
    <w:rsid w:val="00BD2942"/>
    <w:rsid w:val="00BE55D7"/>
    <w:rsid w:val="00C0577C"/>
    <w:rsid w:val="00C268CB"/>
    <w:rsid w:val="00C3455C"/>
    <w:rsid w:val="00C547FA"/>
    <w:rsid w:val="00C93FA6"/>
    <w:rsid w:val="00C96AE6"/>
    <w:rsid w:val="00CD667E"/>
    <w:rsid w:val="00CE3EB8"/>
    <w:rsid w:val="00D01995"/>
    <w:rsid w:val="00D033DD"/>
    <w:rsid w:val="00D17054"/>
    <w:rsid w:val="00D25E8E"/>
    <w:rsid w:val="00D261C3"/>
    <w:rsid w:val="00D46896"/>
    <w:rsid w:val="00D55C08"/>
    <w:rsid w:val="00D96982"/>
    <w:rsid w:val="00DB0AE2"/>
    <w:rsid w:val="00DB3258"/>
    <w:rsid w:val="00DE1ABD"/>
    <w:rsid w:val="00E058DE"/>
    <w:rsid w:val="00E12645"/>
    <w:rsid w:val="00E26829"/>
    <w:rsid w:val="00E70657"/>
    <w:rsid w:val="00E85D69"/>
    <w:rsid w:val="00EA2347"/>
    <w:rsid w:val="00EF0EBF"/>
    <w:rsid w:val="00F06060"/>
    <w:rsid w:val="00F12E72"/>
    <w:rsid w:val="00FD53F0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80742"/>
  <w15:docId w15:val="{E7F12033-4897-4059-B212-F848D9D4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5CD"/>
    <w:pPr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el-G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E2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E2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E2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E2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E2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E2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E2C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E2C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E2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E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6E2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36E2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E2C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E2C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E2C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E2C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E2C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E2C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36E2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36E2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E2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36E2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36E2C"/>
    <w:rPr>
      <w:b/>
      <w:bCs/>
    </w:rPr>
  </w:style>
  <w:style w:type="character" w:styleId="Emphasis">
    <w:name w:val="Emphasis"/>
    <w:basedOn w:val="DefaultParagraphFont"/>
    <w:uiPriority w:val="20"/>
    <w:qFormat/>
    <w:rsid w:val="00736E2C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736E2C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736E2C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736E2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6E2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36E2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E2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E2C"/>
    <w:rPr>
      <w:b/>
      <w:i/>
      <w:sz w:val="24"/>
    </w:rPr>
  </w:style>
  <w:style w:type="character" w:styleId="SubtleEmphasis">
    <w:name w:val="Subtle Emphasis"/>
    <w:uiPriority w:val="19"/>
    <w:qFormat/>
    <w:rsid w:val="00736E2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36E2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36E2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36E2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36E2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6E2C"/>
    <w:pPr>
      <w:outlineLvl w:val="9"/>
    </w:pPr>
  </w:style>
  <w:style w:type="paragraph" w:styleId="BodyText">
    <w:name w:val="Body Text"/>
    <w:basedOn w:val="Normal"/>
    <w:link w:val="BodyTextChar"/>
    <w:unhideWhenUsed/>
    <w:rsid w:val="008865CD"/>
    <w:pPr>
      <w:jc w:val="both"/>
    </w:pPr>
    <w:rPr>
      <w:rFonts w:ascii="Arial" w:hAnsi="Arial"/>
      <w:sz w:val="22"/>
      <w:lang w:val="el-GR"/>
    </w:rPr>
  </w:style>
  <w:style w:type="character" w:customStyle="1" w:styleId="BodyTextChar">
    <w:name w:val="Body Text Char"/>
    <w:basedOn w:val="DefaultParagraphFont"/>
    <w:link w:val="BodyText"/>
    <w:rsid w:val="008865CD"/>
    <w:rPr>
      <w:rFonts w:ascii="Arial" w:eastAsia="Times New Roman" w:hAnsi="Arial"/>
      <w:szCs w:val="20"/>
      <w:lang w:val="el-GR" w:eastAsia="el-G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5CD"/>
    <w:rPr>
      <w:rFonts w:ascii="Tahoma" w:eastAsia="Times New Roman" w:hAnsi="Tahoma" w:cs="Tahoma"/>
      <w:sz w:val="16"/>
      <w:szCs w:val="16"/>
      <w:lang w:val="en-AU" w:eastAsia="el-GR" w:bidi="ar-SA"/>
    </w:rPr>
  </w:style>
  <w:style w:type="paragraph" w:customStyle="1" w:styleId="Aaoeeu">
    <w:name w:val="Aaoeeu"/>
    <w:uiPriority w:val="99"/>
    <w:rsid w:val="008865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l-GR" w:eastAsia="el-GR" w:bidi="ar-SA"/>
    </w:rPr>
  </w:style>
  <w:style w:type="paragraph" w:customStyle="1" w:styleId="a">
    <w:name w:val="Âáóéêü"/>
    <w:uiPriority w:val="99"/>
    <w:rsid w:val="008865C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l-GR" w:eastAsia="el-GR" w:bidi="ar-SA"/>
    </w:rPr>
  </w:style>
  <w:style w:type="paragraph" w:styleId="Header">
    <w:name w:val="header"/>
    <w:basedOn w:val="Normal"/>
    <w:link w:val="HeaderChar"/>
    <w:uiPriority w:val="99"/>
    <w:unhideWhenUsed/>
    <w:rsid w:val="00194A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A44"/>
    <w:rPr>
      <w:rFonts w:ascii="Times New Roman" w:eastAsia="Times New Roman" w:hAnsi="Times New Roman"/>
      <w:sz w:val="20"/>
      <w:szCs w:val="20"/>
      <w:lang w:val="en-AU" w:eastAsia="el-GR" w:bidi="ar-SA"/>
    </w:rPr>
  </w:style>
  <w:style w:type="paragraph" w:styleId="Footer">
    <w:name w:val="footer"/>
    <w:basedOn w:val="Normal"/>
    <w:link w:val="FooterChar"/>
    <w:uiPriority w:val="99"/>
    <w:unhideWhenUsed/>
    <w:rsid w:val="00194A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A44"/>
    <w:rPr>
      <w:rFonts w:ascii="Times New Roman" w:eastAsia="Times New Roman" w:hAnsi="Times New Roman"/>
      <w:sz w:val="20"/>
      <w:szCs w:val="20"/>
      <w:lang w:val="en-AU" w:eastAsia="el-GR" w:bidi="ar-SA"/>
    </w:rPr>
  </w:style>
  <w:style w:type="character" w:styleId="Hyperlink">
    <w:name w:val="Hyperlink"/>
    <w:basedOn w:val="DefaultParagraphFont"/>
    <w:uiPriority w:val="99"/>
    <w:rsid w:val="00194A4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6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93F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3FA6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691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ysics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73DB4-6F82-4B93-A725-D911F6EB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533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a.u.th.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</dc:creator>
  <cp:keywords/>
  <dc:description/>
  <cp:lastModifiedBy>Lefkothea Vigli-Papadaki</cp:lastModifiedBy>
  <cp:revision>11</cp:revision>
  <cp:lastPrinted>2025-12-29T09:04:00Z</cp:lastPrinted>
  <dcterms:created xsi:type="dcterms:W3CDTF">2025-12-29T09:31:00Z</dcterms:created>
  <dcterms:modified xsi:type="dcterms:W3CDTF">2025-12-29T10:59:00Z</dcterms:modified>
</cp:coreProperties>
</file>