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8" w:type="pct"/>
        <w:tblInd w:w="-1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261"/>
        <w:gridCol w:w="4674"/>
        <w:gridCol w:w="2409"/>
      </w:tblGrid>
      <w:tr w:rsidR="008536D7" w:rsidRPr="00F16EC5" w:rsidTr="00C46982">
        <w:trPr>
          <w:cantSplit/>
          <w:trHeight w:val="227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6D7" w:rsidRPr="00F16EC5" w:rsidRDefault="008536D7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C5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536D7" w:rsidRPr="00F16EC5" w:rsidRDefault="008536D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36D7" w:rsidRPr="00F16EC5" w:rsidRDefault="008536D7">
            <w:pPr>
              <w:spacing w:line="480" w:lineRule="auto"/>
              <w:rPr>
                <w:rFonts w:ascii="Arial" w:hAnsi="Arial" w:cs="Arial"/>
                <w:b/>
                <w:spacing w:val="60"/>
                <w:sz w:val="18"/>
                <w:szCs w:val="18"/>
              </w:rPr>
            </w:pPr>
            <w:r w:rsidRPr="00F16EC5">
              <w:rPr>
                <w:rFonts w:ascii="Arial" w:hAnsi="Arial" w:cs="Arial"/>
                <w:b/>
                <w:spacing w:val="60"/>
                <w:sz w:val="18"/>
                <w:szCs w:val="18"/>
              </w:rPr>
              <w:t>ΣΧΟΛΗ ΘΕΤΙΚΩΝ ΕΠΙΣΤΗΜΩΝ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7F" w:rsidRDefault="00060F7F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60F7F" w:rsidRDefault="00060F7F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536D7" w:rsidRPr="00F16EC5" w:rsidRDefault="00060F7F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  <w:r w:rsidRPr="00F16EC5">
              <w:rPr>
                <w:rFonts w:ascii="Arial" w:hAnsi="Arial" w:cs="Arial"/>
                <w:sz w:val="18"/>
                <w:szCs w:val="18"/>
              </w:rPr>
              <w:t xml:space="preserve">Θεσσαλονίκη, </w:t>
            </w:r>
            <w:r w:rsidR="0015129D">
              <w:rPr>
                <w:rFonts w:ascii="Arial" w:hAnsi="Arial" w:cs="Arial"/>
                <w:sz w:val="18"/>
                <w:szCs w:val="18"/>
              </w:rPr>
              <w:t>2</w:t>
            </w:r>
            <w:r w:rsidR="006937D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5129D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.202</w:t>
            </w:r>
            <w:r w:rsidR="006937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536D7" w:rsidRPr="00F16EC5" w:rsidTr="00C46982">
        <w:trPr>
          <w:cantSplit/>
        </w:trPr>
        <w:tc>
          <w:tcPr>
            <w:tcW w:w="243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8536D7" w:rsidRPr="00F16EC5" w:rsidRDefault="008536D7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6EC5">
              <w:rPr>
                <w:noProof/>
                <w:sz w:val="18"/>
                <w:szCs w:val="18"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8536D7" w:rsidRPr="00F16EC5" w:rsidRDefault="008536D7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36D7" w:rsidRPr="009340A7" w:rsidRDefault="008536D7" w:rsidP="009340A7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  <w:r w:rsidRPr="009340A7">
              <w:rPr>
                <w:rFonts w:ascii="Arial" w:hAnsi="Arial" w:cs="Arial"/>
                <w:sz w:val="18"/>
                <w:szCs w:val="18"/>
              </w:rPr>
              <w:t>Τμήμα Φυσικής</w:t>
            </w:r>
          </w:p>
          <w:p w:rsidR="008536D7" w:rsidRPr="00F16EC5" w:rsidRDefault="008536D7" w:rsidP="009340A7">
            <w:pPr>
              <w:tabs>
                <w:tab w:val="left" w:pos="8085"/>
              </w:tabs>
              <w:rPr>
                <w:sz w:val="18"/>
                <w:szCs w:val="18"/>
              </w:rPr>
            </w:pPr>
            <w:r w:rsidRPr="009340A7">
              <w:rPr>
                <w:rFonts w:ascii="Arial" w:hAnsi="Arial" w:cs="Arial"/>
                <w:sz w:val="18"/>
                <w:szCs w:val="18"/>
              </w:rPr>
              <w:t>Γραμματεία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36D7" w:rsidRPr="00F16EC5" w:rsidRDefault="008536D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0F7F" w:rsidRPr="00F16EC5" w:rsidTr="00C46982">
        <w:trPr>
          <w:cantSplit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F7F" w:rsidRPr="00F16EC5" w:rsidRDefault="00060F7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060F7F" w:rsidRPr="00F16EC5" w:rsidRDefault="00060F7F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7F" w:rsidRPr="00F16EC5" w:rsidRDefault="00060F7F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60F7F" w:rsidRPr="00F16EC5" w:rsidRDefault="00060F7F" w:rsidP="00832526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0F7F" w:rsidRPr="00F16EC5" w:rsidRDefault="00060F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60F7F" w:rsidRPr="00F16EC5" w:rsidTr="00C46982">
        <w:trPr>
          <w:cantSplit/>
          <w:trHeight w:val="641"/>
        </w:trPr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0F7F" w:rsidRPr="00F16EC5" w:rsidRDefault="00060F7F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F16EC5">
              <w:rPr>
                <w:rFonts w:ascii="Arial" w:hAnsi="Arial" w:cs="Arial"/>
                <w:spacing w:val="20"/>
                <w:sz w:val="18"/>
                <w:szCs w:val="18"/>
              </w:rPr>
              <w:t>ΑΡΙΣΤΟΤΕΛΕΙΟ</w:t>
            </w:r>
          </w:p>
          <w:p w:rsidR="00060F7F" w:rsidRPr="00F16EC5" w:rsidRDefault="00060F7F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18"/>
                <w:sz w:val="18"/>
                <w:szCs w:val="18"/>
              </w:rPr>
            </w:pPr>
            <w:r w:rsidRPr="00F16EC5">
              <w:rPr>
                <w:rFonts w:ascii="Arial" w:hAnsi="Arial" w:cs="Arial"/>
                <w:spacing w:val="18"/>
                <w:sz w:val="18"/>
                <w:szCs w:val="18"/>
              </w:rPr>
              <w:t>ΠΑΝΕΠΙΣΤΗΜΙΟ</w:t>
            </w:r>
          </w:p>
          <w:p w:rsidR="00060F7F" w:rsidRPr="00F16EC5" w:rsidRDefault="00060F7F" w:rsidP="00060F7F">
            <w:pPr>
              <w:tabs>
                <w:tab w:val="left" w:pos="808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16EC5">
              <w:rPr>
                <w:rFonts w:ascii="Arial" w:hAnsi="Arial" w:cs="Arial"/>
                <w:spacing w:val="18"/>
                <w:sz w:val="18"/>
                <w:szCs w:val="18"/>
              </w:rPr>
              <w:t>ΘΕΣΣΑΛΟΝΙΚΗΣ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F7F" w:rsidRPr="00F16EC5" w:rsidRDefault="00060F7F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0F7F" w:rsidRPr="00F16EC5" w:rsidRDefault="00060F7F">
            <w:pPr>
              <w:tabs>
                <w:tab w:val="left" w:pos="80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0F7F" w:rsidRPr="00F16EC5" w:rsidRDefault="00060F7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36D7" w:rsidRPr="00F16EC5" w:rsidRDefault="008536D7" w:rsidP="00060F7F">
      <w:pPr>
        <w:spacing w:before="120"/>
        <w:ind w:right="40"/>
        <w:jc w:val="center"/>
        <w:rPr>
          <w:rFonts w:ascii="Bookman Old Style" w:hAnsi="Bookman Old Style"/>
          <w:sz w:val="28"/>
          <w:szCs w:val="28"/>
          <w:u w:val="single"/>
        </w:rPr>
      </w:pPr>
      <w:r w:rsidRPr="00F16EC5">
        <w:rPr>
          <w:rFonts w:ascii="Bookman Old Style" w:hAnsi="Bookman Old Style"/>
          <w:sz w:val="28"/>
          <w:szCs w:val="28"/>
          <w:u w:val="single"/>
        </w:rPr>
        <w:t>ΑΝΑΚΟΙΝΩΣΗ</w:t>
      </w:r>
    </w:p>
    <w:p w:rsidR="001078FE" w:rsidRPr="00C46982" w:rsidRDefault="001078FE" w:rsidP="00060F7F">
      <w:pPr>
        <w:ind w:right="41"/>
        <w:jc w:val="center"/>
        <w:rPr>
          <w:rFonts w:ascii="Bookman Old Style" w:hAnsi="Bookman Old Style" w:cs="Arial"/>
          <w:b/>
          <w:u w:val="single"/>
        </w:rPr>
      </w:pPr>
    </w:p>
    <w:p w:rsidR="008536D7" w:rsidRPr="00715591" w:rsidRDefault="008536D7" w:rsidP="00060F7F">
      <w:pPr>
        <w:ind w:right="41"/>
        <w:jc w:val="center"/>
        <w:rPr>
          <w:rFonts w:ascii="Bookman Old Style" w:hAnsi="Bookman Old Style"/>
          <w:b/>
          <w:sz w:val="28"/>
          <w:szCs w:val="28"/>
        </w:rPr>
      </w:pPr>
      <w:r w:rsidRPr="00B72F91">
        <w:rPr>
          <w:rFonts w:ascii="Bookman Old Style" w:hAnsi="Bookman Old Style"/>
          <w:b/>
          <w:sz w:val="28"/>
          <w:szCs w:val="28"/>
        </w:rPr>
        <w:t>Κατατακτήριες εξετάσεις ακαδημαϊκού έτους 20</w:t>
      </w:r>
      <w:r w:rsidR="009F2415">
        <w:rPr>
          <w:rFonts w:ascii="Bookman Old Style" w:hAnsi="Bookman Old Style"/>
          <w:b/>
          <w:sz w:val="28"/>
          <w:szCs w:val="28"/>
        </w:rPr>
        <w:t>2</w:t>
      </w:r>
      <w:r w:rsidR="006937DB">
        <w:rPr>
          <w:rFonts w:ascii="Bookman Old Style" w:hAnsi="Bookman Old Style"/>
          <w:b/>
          <w:sz w:val="28"/>
          <w:szCs w:val="28"/>
        </w:rPr>
        <w:t>2</w:t>
      </w:r>
      <w:r w:rsidRPr="00B72F91">
        <w:rPr>
          <w:rFonts w:ascii="Bookman Old Style" w:hAnsi="Bookman Old Style"/>
          <w:b/>
          <w:sz w:val="28"/>
          <w:szCs w:val="28"/>
        </w:rPr>
        <w:t>-20</w:t>
      </w:r>
      <w:r w:rsidR="00137331" w:rsidRPr="00715591">
        <w:rPr>
          <w:rFonts w:ascii="Bookman Old Style" w:hAnsi="Bookman Old Style"/>
          <w:b/>
          <w:sz w:val="28"/>
          <w:szCs w:val="28"/>
        </w:rPr>
        <w:t>2</w:t>
      </w:r>
      <w:r w:rsidR="006937DB">
        <w:rPr>
          <w:rFonts w:ascii="Bookman Old Style" w:hAnsi="Bookman Old Style"/>
          <w:b/>
          <w:sz w:val="28"/>
          <w:szCs w:val="28"/>
        </w:rPr>
        <w:t>3</w:t>
      </w:r>
    </w:p>
    <w:p w:rsidR="008536D7" w:rsidRPr="00B72F91" w:rsidRDefault="008536D7" w:rsidP="00060F7F">
      <w:pPr>
        <w:ind w:right="41"/>
        <w:jc w:val="center"/>
        <w:rPr>
          <w:rFonts w:ascii="Bookman Old Style" w:hAnsi="Bookman Old Style"/>
          <w:b/>
          <w:sz w:val="28"/>
          <w:szCs w:val="28"/>
        </w:rPr>
      </w:pPr>
      <w:r w:rsidRPr="00B72F91">
        <w:rPr>
          <w:rFonts w:ascii="Bookman Old Style" w:hAnsi="Bookman Old Style"/>
          <w:b/>
          <w:sz w:val="28"/>
          <w:szCs w:val="28"/>
        </w:rPr>
        <w:t>Πρόγραμμα εξετάσεων</w:t>
      </w:r>
    </w:p>
    <w:p w:rsidR="008536D7" w:rsidRPr="00C46982" w:rsidRDefault="008536D7" w:rsidP="00060F7F">
      <w:pPr>
        <w:widowControl w:val="0"/>
        <w:spacing w:line="276" w:lineRule="auto"/>
        <w:ind w:right="41"/>
        <w:jc w:val="both"/>
        <w:rPr>
          <w:rFonts w:ascii="Bookman Old Style" w:hAnsi="Bookman Old Style"/>
        </w:rPr>
      </w:pPr>
    </w:p>
    <w:p w:rsidR="008536D7" w:rsidRPr="00B72F91" w:rsidRDefault="00D83C96" w:rsidP="00382D18">
      <w:pPr>
        <w:widowControl w:val="0"/>
        <w:spacing w:before="120" w:after="120" w:line="276" w:lineRule="auto"/>
        <w:ind w:right="40" w:firstLine="42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Σας ενημερώνουμε ότι</w:t>
      </w:r>
      <w:r w:rsidR="006937DB">
        <w:t xml:space="preserve"> </w:t>
      </w:r>
      <w:r w:rsidR="00382D18">
        <w:rPr>
          <w:rFonts w:ascii="Bookman Old Style" w:hAnsi="Bookman Old Style"/>
          <w:sz w:val="22"/>
          <w:szCs w:val="22"/>
        </w:rPr>
        <w:t>ο</w:t>
      </w:r>
      <w:r w:rsidR="008536D7" w:rsidRPr="00B72F91">
        <w:rPr>
          <w:rFonts w:ascii="Bookman Old Style" w:hAnsi="Bookman Old Style"/>
          <w:sz w:val="22"/>
          <w:szCs w:val="22"/>
        </w:rPr>
        <w:t>ι κατατακτήριες εξετάσεις του Τμήματος Φυσικής για το ακαδημαϊκό έτος 20</w:t>
      </w:r>
      <w:r w:rsidR="009F2415">
        <w:rPr>
          <w:rFonts w:ascii="Bookman Old Style" w:hAnsi="Bookman Old Style"/>
          <w:sz w:val="22"/>
          <w:szCs w:val="22"/>
        </w:rPr>
        <w:t>2</w:t>
      </w:r>
      <w:r w:rsidR="006937DB">
        <w:rPr>
          <w:rFonts w:ascii="Bookman Old Style" w:hAnsi="Bookman Old Style"/>
          <w:sz w:val="22"/>
          <w:szCs w:val="22"/>
        </w:rPr>
        <w:t>2</w:t>
      </w:r>
      <w:r w:rsidR="008536D7" w:rsidRPr="00B72F91">
        <w:rPr>
          <w:rFonts w:ascii="Bookman Old Style" w:hAnsi="Bookman Old Style"/>
          <w:sz w:val="22"/>
          <w:szCs w:val="22"/>
        </w:rPr>
        <w:t>-20</w:t>
      </w:r>
      <w:r w:rsidR="00137331" w:rsidRPr="00137331">
        <w:rPr>
          <w:rFonts w:ascii="Bookman Old Style" w:hAnsi="Bookman Old Style"/>
          <w:sz w:val="22"/>
          <w:szCs w:val="22"/>
        </w:rPr>
        <w:t>2</w:t>
      </w:r>
      <w:r w:rsidR="006937DB">
        <w:rPr>
          <w:rFonts w:ascii="Bookman Old Style" w:hAnsi="Bookman Old Style"/>
          <w:sz w:val="22"/>
          <w:szCs w:val="22"/>
        </w:rPr>
        <w:t>3</w:t>
      </w:r>
      <w:r w:rsidR="008536D7" w:rsidRPr="00B72F91">
        <w:rPr>
          <w:rFonts w:ascii="Bookman Old Style" w:hAnsi="Bookman Old Style"/>
          <w:sz w:val="22"/>
          <w:szCs w:val="22"/>
        </w:rPr>
        <w:t xml:space="preserve"> θα γίνουν σύμφωνα με το εξής </w:t>
      </w:r>
      <w:r w:rsidR="008536D7" w:rsidRPr="00B72F91">
        <w:rPr>
          <w:rFonts w:ascii="Bookman Old Style" w:hAnsi="Bookman Old Style"/>
          <w:b/>
          <w:sz w:val="22"/>
          <w:szCs w:val="22"/>
        </w:rPr>
        <w:t>πρόγραμμα</w:t>
      </w:r>
      <w:r w:rsidR="008536D7" w:rsidRPr="00B72F91">
        <w:rPr>
          <w:rFonts w:ascii="Bookman Old Style" w:hAnsi="Bookman Old Style"/>
          <w:sz w:val="22"/>
          <w:szCs w:val="22"/>
        </w:rPr>
        <w:t>:</w:t>
      </w:r>
    </w:p>
    <w:p w:rsidR="008536D7" w:rsidRPr="009F2415" w:rsidRDefault="006937DB" w:rsidP="00060F7F">
      <w:pPr>
        <w:widowControl w:val="0"/>
        <w:spacing w:line="276" w:lineRule="auto"/>
        <w:ind w:right="4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Παρασκευή</w:t>
      </w:r>
      <w:r w:rsidR="008536D7" w:rsidRPr="009F2415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9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</w:t>
      </w:r>
      <w:r w:rsidR="0015129D">
        <w:rPr>
          <w:rFonts w:ascii="Bookman Old Style" w:hAnsi="Bookman Old Style"/>
          <w:b/>
          <w:sz w:val="22"/>
          <w:szCs w:val="22"/>
        </w:rPr>
        <w:t>Δεκεμβρίου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202</w:t>
      </w:r>
      <w:r>
        <w:rPr>
          <w:rFonts w:ascii="Bookman Old Style" w:hAnsi="Bookman Old Style"/>
          <w:b/>
          <w:sz w:val="22"/>
          <w:szCs w:val="22"/>
        </w:rPr>
        <w:t>2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</w:t>
      </w:r>
      <w:r w:rsidR="00C9447B" w:rsidRPr="009F2415">
        <w:rPr>
          <w:rFonts w:ascii="Bookman Old Style" w:hAnsi="Bookman Old Style"/>
          <w:b/>
          <w:sz w:val="22"/>
          <w:szCs w:val="22"/>
        </w:rPr>
        <w:t>(1</w:t>
      </w:r>
      <w:r>
        <w:rPr>
          <w:rFonts w:ascii="Bookman Old Style" w:hAnsi="Bookman Old Style"/>
          <w:b/>
          <w:sz w:val="22"/>
          <w:szCs w:val="22"/>
        </w:rPr>
        <w:t>0</w:t>
      </w:r>
      <w:r w:rsidR="00C9447B" w:rsidRPr="009F2415">
        <w:rPr>
          <w:rFonts w:ascii="Bookman Old Style" w:hAnsi="Bookman Old Style"/>
          <w:b/>
          <w:sz w:val="22"/>
          <w:szCs w:val="22"/>
        </w:rPr>
        <w:t>:00 – 1</w:t>
      </w:r>
      <w:r>
        <w:rPr>
          <w:rFonts w:ascii="Bookman Old Style" w:hAnsi="Bookman Old Style"/>
          <w:b/>
          <w:sz w:val="22"/>
          <w:szCs w:val="22"/>
        </w:rPr>
        <w:t>3</w:t>
      </w:r>
      <w:r w:rsidR="00C9447B" w:rsidRPr="009F2415">
        <w:rPr>
          <w:rFonts w:ascii="Bookman Old Style" w:hAnsi="Bookman Old Style"/>
          <w:b/>
          <w:sz w:val="22"/>
          <w:szCs w:val="22"/>
        </w:rPr>
        <w:t xml:space="preserve">:00): </w:t>
      </w:r>
      <w:r>
        <w:rPr>
          <w:rFonts w:ascii="Bookman Old Style" w:hAnsi="Bookman Old Style"/>
          <w:b/>
          <w:sz w:val="22"/>
          <w:szCs w:val="22"/>
          <w:u w:val="single"/>
        </w:rPr>
        <w:t>Ηλεκτρισμός</w:t>
      </w:r>
    </w:p>
    <w:p w:rsidR="008536D7" w:rsidRPr="009F2415" w:rsidRDefault="006937DB" w:rsidP="00060F7F">
      <w:pPr>
        <w:widowControl w:val="0"/>
        <w:spacing w:line="276" w:lineRule="auto"/>
        <w:ind w:right="4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Δευτέρα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</w:t>
      </w:r>
      <w:r w:rsidR="0015129D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2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</w:t>
      </w:r>
      <w:r w:rsidR="0015129D">
        <w:rPr>
          <w:rFonts w:ascii="Bookman Old Style" w:hAnsi="Bookman Old Style"/>
          <w:b/>
          <w:sz w:val="22"/>
          <w:szCs w:val="22"/>
        </w:rPr>
        <w:t>Δεκεμβρίου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202</w:t>
      </w:r>
      <w:r>
        <w:rPr>
          <w:rFonts w:ascii="Bookman Old Style" w:hAnsi="Bookman Old Style"/>
          <w:b/>
          <w:sz w:val="22"/>
          <w:szCs w:val="22"/>
        </w:rPr>
        <w:t>2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(</w:t>
      </w:r>
      <w:r w:rsidRPr="009F241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0</w:t>
      </w:r>
      <w:r w:rsidRPr="009F2415">
        <w:rPr>
          <w:rFonts w:ascii="Bookman Old Style" w:hAnsi="Bookman Old Style"/>
          <w:b/>
          <w:sz w:val="22"/>
          <w:szCs w:val="22"/>
        </w:rPr>
        <w:t>:00 – 1</w:t>
      </w:r>
      <w:r>
        <w:rPr>
          <w:rFonts w:ascii="Bookman Old Style" w:hAnsi="Bookman Old Style"/>
          <w:b/>
          <w:sz w:val="22"/>
          <w:szCs w:val="22"/>
        </w:rPr>
        <w:t>3</w:t>
      </w:r>
      <w:r w:rsidRPr="009F2415">
        <w:rPr>
          <w:rFonts w:ascii="Bookman Old Style" w:hAnsi="Bookman Old Style"/>
          <w:b/>
          <w:sz w:val="22"/>
          <w:szCs w:val="22"/>
        </w:rPr>
        <w:t>:00</w:t>
      </w:r>
      <w:r w:rsidR="009F2415" w:rsidRPr="009F2415">
        <w:rPr>
          <w:rFonts w:ascii="Bookman Old Style" w:hAnsi="Bookman Old Style"/>
          <w:b/>
          <w:sz w:val="22"/>
          <w:szCs w:val="22"/>
        </w:rPr>
        <w:t>)</w:t>
      </w:r>
      <w:r w:rsidR="008536D7" w:rsidRPr="009F2415">
        <w:rPr>
          <w:rFonts w:ascii="Bookman Old Style" w:hAnsi="Bookman Old Style"/>
          <w:b/>
          <w:sz w:val="22"/>
          <w:szCs w:val="22"/>
        </w:rPr>
        <w:t xml:space="preserve">: </w:t>
      </w:r>
      <w:r>
        <w:rPr>
          <w:rFonts w:ascii="Bookman Old Style" w:hAnsi="Bookman Old Style"/>
          <w:b/>
          <w:sz w:val="22"/>
          <w:szCs w:val="22"/>
          <w:u w:val="single"/>
        </w:rPr>
        <w:t>Μηχανική</w:t>
      </w:r>
    </w:p>
    <w:p w:rsidR="008536D7" w:rsidRPr="009F2415" w:rsidRDefault="00E35EF4" w:rsidP="00060F7F">
      <w:pPr>
        <w:widowControl w:val="0"/>
        <w:spacing w:line="276" w:lineRule="auto"/>
        <w:ind w:right="41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Π</w:t>
      </w:r>
      <w:r w:rsidR="006937DB">
        <w:rPr>
          <w:rFonts w:ascii="Bookman Old Style" w:hAnsi="Bookman Old Style"/>
          <w:b/>
          <w:sz w:val="22"/>
          <w:szCs w:val="22"/>
        </w:rPr>
        <w:t>έμπτη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</w:t>
      </w:r>
      <w:r w:rsidR="0015129D">
        <w:rPr>
          <w:rFonts w:ascii="Bookman Old Style" w:hAnsi="Bookman Old Style"/>
          <w:b/>
          <w:sz w:val="22"/>
          <w:szCs w:val="22"/>
        </w:rPr>
        <w:t>1</w:t>
      </w:r>
      <w:r w:rsidR="006937DB">
        <w:rPr>
          <w:rFonts w:ascii="Bookman Old Style" w:hAnsi="Bookman Old Style"/>
          <w:b/>
          <w:sz w:val="22"/>
          <w:szCs w:val="22"/>
        </w:rPr>
        <w:t>5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</w:t>
      </w:r>
      <w:r w:rsidR="0015129D">
        <w:rPr>
          <w:rFonts w:ascii="Bookman Old Style" w:hAnsi="Bookman Old Style"/>
          <w:b/>
          <w:sz w:val="22"/>
          <w:szCs w:val="22"/>
        </w:rPr>
        <w:t>Δεκεμβρίου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202</w:t>
      </w:r>
      <w:r w:rsidR="006937DB">
        <w:rPr>
          <w:rFonts w:ascii="Bookman Old Style" w:hAnsi="Bookman Old Style"/>
          <w:b/>
          <w:sz w:val="22"/>
          <w:szCs w:val="22"/>
        </w:rPr>
        <w:t>2</w:t>
      </w:r>
      <w:r w:rsidR="009F2415" w:rsidRPr="009F2415">
        <w:rPr>
          <w:rFonts w:ascii="Bookman Old Style" w:hAnsi="Bookman Old Style"/>
          <w:b/>
          <w:sz w:val="22"/>
          <w:szCs w:val="22"/>
        </w:rPr>
        <w:t xml:space="preserve"> (</w:t>
      </w:r>
      <w:r w:rsidR="006937DB" w:rsidRPr="009F2415">
        <w:rPr>
          <w:rFonts w:ascii="Bookman Old Style" w:hAnsi="Bookman Old Style"/>
          <w:b/>
          <w:sz w:val="22"/>
          <w:szCs w:val="22"/>
        </w:rPr>
        <w:t>1</w:t>
      </w:r>
      <w:r w:rsidR="006937DB">
        <w:rPr>
          <w:rFonts w:ascii="Bookman Old Style" w:hAnsi="Bookman Old Style"/>
          <w:b/>
          <w:sz w:val="22"/>
          <w:szCs w:val="22"/>
        </w:rPr>
        <w:t>0</w:t>
      </w:r>
      <w:r w:rsidR="006937DB" w:rsidRPr="009F2415">
        <w:rPr>
          <w:rFonts w:ascii="Bookman Old Style" w:hAnsi="Bookman Old Style"/>
          <w:b/>
          <w:sz w:val="22"/>
          <w:szCs w:val="22"/>
        </w:rPr>
        <w:t>:00 – 1</w:t>
      </w:r>
      <w:r w:rsidR="006937DB">
        <w:rPr>
          <w:rFonts w:ascii="Bookman Old Style" w:hAnsi="Bookman Old Style"/>
          <w:b/>
          <w:sz w:val="22"/>
          <w:szCs w:val="22"/>
        </w:rPr>
        <w:t>3</w:t>
      </w:r>
      <w:r w:rsidR="006937DB" w:rsidRPr="009F2415">
        <w:rPr>
          <w:rFonts w:ascii="Bookman Old Style" w:hAnsi="Bookman Old Style"/>
          <w:b/>
          <w:sz w:val="22"/>
          <w:szCs w:val="22"/>
        </w:rPr>
        <w:t>:00</w:t>
      </w:r>
      <w:r w:rsidR="009F2415" w:rsidRPr="009F2415">
        <w:rPr>
          <w:rFonts w:ascii="Bookman Old Style" w:hAnsi="Bookman Old Style"/>
          <w:b/>
          <w:sz w:val="22"/>
          <w:szCs w:val="22"/>
        </w:rPr>
        <w:t>)</w:t>
      </w:r>
      <w:r w:rsidR="008536D7" w:rsidRPr="009F2415">
        <w:rPr>
          <w:rFonts w:ascii="Bookman Old Style" w:hAnsi="Bookman Old Style"/>
          <w:b/>
          <w:sz w:val="22"/>
          <w:szCs w:val="22"/>
        </w:rPr>
        <w:t xml:space="preserve">: </w:t>
      </w:r>
      <w:r w:rsidR="008536D7" w:rsidRPr="009F2415">
        <w:rPr>
          <w:rFonts w:ascii="Bookman Old Style" w:hAnsi="Bookman Old Style"/>
          <w:b/>
          <w:sz w:val="22"/>
          <w:szCs w:val="22"/>
          <w:u w:val="single"/>
        </w:rPr>
        <w:t>Μαθηματικά</w:t>
      </w:r>
    </w:p>
    <w:p w:rsidR="008536D7" w:rsidRPr="00FA7329" w:rsidRDefault="008536D7" w:rsidP="00382D18">
      <w:pPr>
        <w:widowControl w:val="0"/>
        <w:spacing w:before="120" w:line="276" w:lineRule="auto"/>
        <w:ind w:right="41" w:firstLine="426"/>
        <w:jc w:val="both"/>
        <w:rPr>
          <w:rFonts w:ascii="Bookman Old Style" w:hAnsi="Bookman Old Style"/>
          <w:sz w:val="22"/>
          <w:szCs w:val="22"/>
        </w:rPr>
      </w:pPr>
      <w:r w:rsidRPr="00FA7329">
        <w:rPr>
          <w:rFonts w:ascii="Bookman Old Style" w:hAnsi="Bookman Old Style"/>
          <w:sz w:val="22"/>
          <w:szCs w:val="22"/>
        </w:rPr>
        <w:t>Τη</w:t>
      </w:r>
      <w:r w:rsidR="006937DB">
        <w:rPr>
          <w:rFonts w:ascii="Bookman Old Style" w:hAnsi="Bookman Old Style"/>
          <w:sz w:val="22"/>
          <w:szCs w:val="22"/>
        </w:rPr>
        <w:t>ν</w:t>
      </w:r>
      <w:r w:rsidRPr="00FA7329">
        <w:rPr>
          <w:rFonts w:ascii="Bookman Old Style" w:hAnsi="Bookman Old Style"/>
          <w:sz w:val="22"/>
          <w:szCs w:val="22"/>
        </w:rPr>
        <w:t xml:space="preserve"> </w:t>
      </w:r>
      <w:r w:rsidR="00D83C96">
        <w:rPr>
          <w:rFonts w:ascii="Bookman Old Style" w:hAnsi="Bookman Old Style"/>
          <w:sz w:val="22"/>
          <w:szCs w:val="22"/>
        </w:rPr>
        <w:t xml:space="preserve">πρώτη ημέρα της εξέτασης, </w:t>
      </w:r>
      <w:r w:rsidR="006937DB">
        <w:rPr>
          <w:rFonts w:ascii="Bookman Old Style" w:hAnsi="Bookman Old Style"/>
          <w:sz w:val="22"/>
          <w:szCs w:val="22"/>
          <w:u w:val="single"/>
        </w:rPr>
        <w:t>Παρασκευή</w:t>
      </w:r>
      <w:r w:rsidR="009F2415" w:rsidRPr="00382D18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6937DB">
        <w:rPr>
          <w:rFonts w:ascii="Bookman Old Style" w:hAnsi="Bookman Old Style"/>
          <w:sz w:val="22"/>
          <w:szCs w:val="22"/>
          <w:u w:val="single"/>
        </w:rPr>
        <w:t>9</w:t>
      </w:r>
      <w:r w:rsidR="009F2415" w:rsidRPr="00382D18">
        <w:rPr>
          <w:rFonts w:ascii="Bookman Old Style" w:hAnsi="Bookman Old Style"/>
          <w:sz w:val="22"/>
          <w:szCs w:val="22"/>
          <w:u w:val="single"/>
        </w:rPr>
        <w:t xml:space="preserve"> </w:t>
      </w:r>
      <w:r w:rsidR="0015129D">
        <w:rPr>
          <w:rFonts w:ascii="Bookman Old Style" w:hAnsi="Bookman Old Style"/>
          <w:sz w:val="22"/>
          <w:szCs w:val="22"/>
          <w:u w:val="single"/>
        </w:rPr>
        <w:t>Δεκεμβρίου</w:t>
      </w:r>
      <w:r w:rsidR="009F2415" w:rsidRPr="00382D18">
        <w:rPr>
          <w:rFonts w:ascii="Bookman Old Style" w:hAnsi="Bookman Old Style"/>
          <w:sz w:val="22"/>
          <w:szCs w:val="22"/>
          <w:u w:val="single"/>
        </w:rPr>
        <w:t xml:space="preserve"> 202</w:t>
      </w:r>
      <w:r w:rsidR="006937DB">
        <w:rPr>
          <w:rFonts w:ascii="Bookman Old Style" w:hAnsi="Bookman Old Style"/>
          <w:sz w:val="22"/>
          <w:szCs w:val="22"/>
          <w:u w:val="single"/>
        </w:rPr>
        <w:t>2</w:t>
      </w:r>
      <w:r w:rsidR="00060F7F">
        <w:rPr>
          <w:rFonts w:ascii="Bookman Old Style" w:hAnsi="Bookman Old Style"/>
          <w:sz w:val="22"/>
          <w:szCs w:val="22"/>
        </w:rPr>
        <w:t xml:space="preserve"> </w:t>
      </w:r>
      <w:r w:rsidRPr="00FA7329">
        <w:rPr>
          <w:rFonts w:ascii="Bookman Old Style" w:hAnsi="Bookman Old Style"/>
          <w:sz w:val="22"/>
          <w:szCs w:val="22"/>
        </w:rPr>
        <w:t>οι υποψήφιοι θα πρέπει να παρευρίσκονται στο χώρ</w:t>
      </w:r>
      <w:r w:rsidR="00A34D16" w:rsidRPr="00FA7329">
        <w:rPr>
          <w:rFonts w:ascii="Bookman Old Style" w:hAnsi="Bookman Old Style"/>
          <w:sz w:val="22"/>
          <w:szCs w:val="22"/>
        </w:rPr>
        <w:t xml:space="preserve">ο των εξετάσεων </w:t>
      </w:r>
      <w:r w:rsidR="00A34D16" w:rsidRPr="00D83C96">
        <w:rPr>
          <w:rFonts w:ascii="Bookman Old Style" w:hAnsi="Bookman Old Style"/>
          <w:b/>
          <w:sz w:val="22"/>
          <w:szCs w:val="22"/>
          <w:u w:val="single"/>
        </w:rPr>
        <w:t>1 ώρα νωρίτερα</w:t>
      </w:r>
      <w:r w:rsidR="00A34D16" w:rsidRPr="00FA7329">
        <w:rPr>
          <w:rFonts w:ascii="Bookman Old Style" w:hAnsi="Bookman Old Style"/>
          <w:sz w:val="22"/>
          <w:szCs w:val="22"/>
        </w:rPr>
        <w:t>.</w:t>
      </w:r>
      <w:r w:rsidRPr="00FA7329">
        <w:rPr>
          <w:rFonts w:ascii="Bookman Old Style" w:hAnsi="Bookman Old Style"/>
          <w:sz w:val="22"/>
          <w:szCs w:val="22"/>
        </w:rPr>
        <w:t xml:space="preserve"> Τις υπόλοιπες ημέρες υποχρεούνται να προσέρχονται μισή ώρα (30</w:t>
      </w:r>
      <w:r w:rsidR="00D83C96">
        <w:rPr>
          <w:rFonts w:ascii="Bookman Old Style" w:hAnsi="Bookman Old Style"/>
          <w:sz w:val="22"/>
          <w:szCs w:val="22"/>
        </w:rPr>
        <w:t xml:space="preserve">’ </w:t>
      </w:r>
      <w:r w:rsidRPr="00FA7329">
        <w:rPr>
          <w:rFonts w:ascii="Bookman Old Style" w:hAnsi="Bookman Old Style"/>
          <w:sz w:val="22"/>
          <w:szCs w:val="22"/>
        </w:rPr>
        <w:t>λεπτά) νωρίτερα.</w:t>
      </w:r>
    </w:p>
    <w:p w:rsidR="008536D7" w:rsidRDefault="008536D7" w:rsidP="00C0541F">
      <w:pPr>
        <w:widowControl w:val="0"/>
        <w:spacing w:before="120" w:line="276" w:lineRule="auto"/>
        <w:ind w:right="40" w:firstLine="425"/>
        <w:jc w:val="both"/>
        <w:rPr>
          <w:rFonts w:ascii="Bookman Old Style" w:hAnsi="Bookman Old Style"/>
          <w:sz w:val="22"/>
          <w:szCs w:val="22"/>
        </w:rPr>
      </w:pPr>
      <w:r w:rsidRPr="00FA7329">
        <w:rPr>
          <w:rFonts w:ascii="Bookman Old Style" w:hAnsi="Bookman Old Style"/>
          <w:sz w:val="22"/>
          <w:szCs w:val="22"/>
        </w:rPr>
        <w:t xml:space="preserve">Οι εξετάσεις θα γίνουν στην αίθουσα </w:t>
      </w:r>
      <w:r w:rsidR="0015129D">
        <w:rPr>
          <w:rFonts w:ascii="Bookman Old Style" w:hAnsi="Bookman Old Style"/>
          <w:sz w:val="22"/>
          <w:szCs w:val="22"/>
        </w:rPr>
        <w:t>Συνεδριάσεων</w:t>
      </w:r>
      <w:r w:rsidRPr="00FA7329">
        <w:rPr>
          <w:rFonts w:ascii="Bookman Old Style" w:hAnsi="Bookman Old Style"/>
          <w:sz w:val="22"/>
          <w:szCs w:val="22"/>
        </w:rPr>
        <w:t xml:space="preserve"> του Τμήματος Φυσικής (</w:t>
      </w:r>
      <w:r w:rsidR="0015129D">
        <w:rPr>
          <w:rFonts w:ascii="Bookman Old Style" w:hAnsi="Bookman Old Style"/>
          <w:sz w:val="22"/>
          <w:szCs w:val="22"/>
        </w:rPr>
        <w:t>4</w:t>
      </w:r>
      <w:r w:rsidR="0015129D" w:rsidRPr="0015129D">
        <w:rPr>
          <w:rFonts w:ascii="Bookman Old Style" w:hAnsi="Bookman Old Style"/>
          <w:sz w:val="22"/>
          <w:szCs w:val="22"/>
          <w:vertAlign w:val="superscript"/>
        </w:rPr>
        <w:t>ος</w:t>
      </w:r>
      <w:r w:rsidR="0015129D">
        <w:rPr>
          <w:rFonts w:ascii="Bookman Old Style" w:hAnsi="Bookman Old Style"/>
          <w:sz w:val="22"/>
          <w:szCs w:val="22"/>
        </w:rPr>
        <w:t xml:space="preserve"> όροφος κεντρικού </w:t>
      </w:r>
      <w:r w:rsidR="009F2415">
        <w:rPr>
          <w:rFonts w:ascii="Bookman Old Style" w:hAnsi="Bookman Old Style"/>
          <w:sz w:val="22"/>
          <w:szCs w:val="22"/>
        </w:rPr>
        <w:t>κτιρίου της Σ.Θ.Ε.</w:t>
      </w:r>
      <w:r w:rsidRPr="00FA7329">
        <w:rPr>
          <w:rFonts w:ascii="Bookman Old Style" w:hAnsi="Bookman Old Style"/>
          <w:sz w:val="22"/>
          <w:szCs w:val="22"/>
        </w:rPr>
        <w:t>).</w:t>
      </w:r>
    </w:p>
    <w:p w:rsidR="00060F7F" w:rsidRPr="00382D18" w:rsidRDefault="00382D18" w:rsidP="00C0541F">
      <w:pPr>
        <w:widowControl w:val="0"/>
        <w:spacing w:before="120" w:line="276" w:lineRule="auto"/>
        <w:ind w:right="40" w:firstLine="425"/>
        <w:jc w:val="both"/>
        <w:rPr>
          <w:rFonts w:ascii="Bookman Old Style" w:hAnsi="Bookman Old Style"/>
          <w:sz w:val="22"/>
          <w:szCs w:val="22"/>
          <w:u w:val="single"/>
        </w:rPr>
      </w:pPr>
      <w:r w:rsidRPr="00382D18">
        <w:rPr>
          <w:rFonts w:ascii="Bookman Old Style" w:hAnsi="Bookman Old Style"/>
          <w:sz w:val="22"/>
          <w:szCs w:val="22"/>
          <w:u w:val="single"/>
        </w:rPr>
        <w:t>Επισημαίνεται</w:t>
      </w:r>
      <w:r w:rsidR="00060F7F" w:rsidRPr="00382D18">
        <w:rPr>
          <w:rFonts w:ascii="Bookman Old Style" w:hAnsi="Bookman Old Style"/>
          <w:sz w:val="22"/>
          <w:szCs w:val="22"/>
          <w:u w:val="single"/>
        </w:rPr>
        <w:t xml:space="preserve"> ότι σύμφωνα με τα έκτακτα μέτρα προστασίας της δημόσιας υγείας από τον κίν</w:t>
      </w:r>
      <w:r w:rsidRPr="00382D18">
        <w:rPr>
          <w:rFonts w:ascii="Bookman Old Style" w:hAnsi="Bookman Old Style"/>
          <w:sz w:val="22"/>
          <w:szCs w:val="22"/>
          <w:u w:val="single"/>
        </w:rPr>
        <w:t xml:space="preserve">δυνο περαιτέρω διασποράς του </w:t>
      </w:r>
      <w:proofErr w:type="spellStart"/>
      <w:r w:rsidRPr="00382D18">
        <w:rPr>
          <w:rFonts w:ascii="Bookman Old Style" w:hAnsi="Bookman Old Style"/>
          <w:sz w:val="22"/>
          <w:szCs w:val="22"/>
          <w:u w:val="single"/>
        </w:rPr>
        <w:t>κο</w:t>
      </w:r>
      <w:r w:rsidR="00060F7F" w:rsidRPr="00382D18">
        <w:rPr>
          <w:rFonts w:ascii="Bookman Old Style" w:hAnsi="Bookman Old Style"/>
          <w:sz w:val="22"/>
          <w:szCs w:val="22"/>
          <w:u w:val="single"/>
        </w:rPr>
        <w:t>ρωνοϊού</w:t>
      </w:r>
      <w:proofErr w:type="spellEnd"/>
      <w:r w:rsidR="00060F7F" w:rsidRPr="00382D18">
        <w:rPr>
          <w:rFonts w:ascii="Bookman Old Style" w:hAnsi="Bookman Old Style"/>
          <w:sz w:val="22"/>
          <w:szCs w:val="22"/>
          <w:u w:val="single"/>
        </w:rPr>
        <w:t xml:space="preserve"> COVID-19, ισχύ</w:t>
      </w:r>
      <w:r w:rsidR="006937DB">
        <w:rPr>
          <w:rFonts w:ascii="Bookman Old Style" w:hAnsi="Bookman Old Style"/>
          <w:sz w:val="22"/>
          <w:szCs w:val="22"/>
          <w:u w:val="single"/>
        </w:rPr>
        <w:t>ει μέχρι στιγμής</w:t>
      </w:r>
      <w:r w:rsidR="00060F7F" w:rsidRPr="00382D18">
        <w:rPr>
          <w:rFonts w:ascii="Bookman Old Style" w:hAnsi="Bookman Old Style"/>
          <w:sz w:val="22"/>
          <w:szCs w:val="22"/>
          <w:u w:val="single"/>
        </w:rPr>
        <w:t>:</w:t>
      </w:r>
    </w:p>
    <w:p w:rsidR="007520A4" w:rsidRPr="006937DB" w:rsidRDefault="006937DB" w:rsidP="006937DB">
      <w:pPr>
        <w:widowControl w:val="0"/>
        <w:spacing w:line="276" w:lineRule="auto"/>
        <w:ind w:right="41"/>
        <w:jc w:val="both"/>
        <w:rPr>
          <w:rFonts w:ascii="Bookman Old Style" w:hAnsi="Bookman Old Style"/>
          <w:sz w:val="22"/>
          <w:szCs w:val="22"/>
        </w:rPr>
      </w:pPr>
      <w:r w:rsidRPr="006937DB">
        <w:rPr>
          <w:rFonts w:ascii="Bookman Old Style" w:hAnsi="Bookman Old Style"/>
          <w:sz w:val="22"/>
          <w:szCs w:val="22"/>
        </w:rPr>
        <w:t>Προαιρετική</w:t>
      </w:r>
      <w:r w:rsidR="007520A4" w:rsidRPr="006937DB">
        <w:rPr>
          <w:rFonts w:ascii="Bookman Old Style" w:hAnsi="Bookman Old Style"/>
          <w:sz w:val="22"/>
          <w:szCs w:val="22"/>
        </w:rPr>
        <w:t xml:space="preserve"> χρήση μάσκας στους εσωτερικούς και εξωτερικούς χώρους</w:t>
      </w:r>
      <w:r w:rsidR="00FB419A" w:rsidRPr="006937DB">
        <w:rPr>
          <w:rFonts w:ascii="Bookman Old Style" w:hAnsi="Bookman Old Style"/>
          <w:sz w:val="22"/>
          <w:szCs w:val="22"/>
        </w:rPr>
        <w:t xml:space="preserve"> τους συμμετέχοντες </w:t>
      </w:r>
      <w:r w:rsidRPr="006937DB">
        <w:rPr>
          <w:rFonts w:ascii="Bookman Old Style" w:hAnsi="Bookman Old Style"/>
          <w:sz w:val="22"/>
          <w:szCs w:val="22"/>
        </w:rPr>
        <w:t>στην εξέταση</w:t>
      </w:r>
    </w:p>
    <w:p w:rsidR="003F5B79" w:rsidRDefault="008536D7" w:rsidP="006937DB">
      <w:pPr>
        <w:widowControl w:val="0"/>
        <w:spacing w:before="120" w:line="276" w:lineRule="auto"/>
        <w:ind w:right="40" w:firstLine="425"/>
        <w:jc w:val="both"/>
        <w:rPr>
          <w:rFonts w:ascii="Bookman Old Style" w:hAnsi="Bookman Old Style"/>
          <w:sz w:val="22"/>
          <w:szCs w:val="22"/>
        </w:rPr>
      </w:pPr>
      <w:r w:rsidRPr="00B72F91">
        <w:rPr>
          <w:rFonts w:ascii="Bookman Old Style" w:hAnsi="Bookman Old Style"/>
          <w:sz w:val="22"/>
          <w:szCs w:val="22"/>
        </w:rPr>
        <w:t>Παρακαλούνται οι υποψήφιοι να έχουν μαζί τους δελτίο αστυνομικής ταυ</w:t>
      </w:r>
      <w:r w:rsidR="009F2415">
        <w:rPr>
          <w:rFonts w:ascii="Bookman Old Style" w:hAnsi="Bookman Old Style"/>
          <w:sz w:val="22"/>
          <w:szCs w:val="22"/>
        </w:rPr>
        <w:t>τότητας και μπλε ή μαύρο στυλό.</w:t>
      </w:r>
    </w:p>
    <w:p w:rsidR="001078FE" w:rsidRDefault="008536D7" w:rsidP="003F5B79">
      <w:pPr>
        <w:widowControl w:val="0"/>
        <w:spacing w:line="276" w:lineRule="auto"/>
        <w:ind w:right="41" w:firstLine="425"/>
        <w:jc w:val="both"/>
        <w:rPr>
          <w:rFonts w:ascii="Bookman Old Style" w:hAnsi="Bookman Old Style"/>
          <w:sz w:val="22"/>
          <w:szCs w:val="22"/>
        </w:rPr>
      </w:pPr>
      <w:r w:rsidRPr="00B72F91">
        <w:rPr>
          <w:rFonts w:ascii="Bookman Old Style" w:hAnsi="Bookman Old Style"/>
          <w:sz w:val="22"/>
          <w:szCs w:val="22"/>
        </w:rPr>
        <w:t xml:space="preserve">Υπενθυμίζεται ότι η ύλη των μαθημάτων, στα οποία θα εξεταστούν οι υποψήφιοι, </w:t>
      </w:r>
      <w:r w:rsidR="00A34D16">
        <w:rPr>
          <w:rFonts w:ascii="Bookman Old Style" w:hAnsi="Bookman Old Style" w:cs="Arial"/>
          <w:sz w:val="22"/>
          <w:szCs w:val="22"/>
        </w:rPr>
        <w:t>σ</w:t>
      </w:r>
      <w:r w:rsidR="00A34D16" w:rsidRPr="00980381">
        <w:rPr>
          <w:rFonts w:ascii="Bookman Old Style" w:hAnsi="Bookman Old Style" w:cs="Arial"/>
          <w:sz w:val="22"/>
          <w:szCs w:val="22"/>
        </w:rPr>
        <w:t xml:space="preserve">ύμφωνα με την απόφαση της Συνέλευσης του Τμήματος Φυσικής </w:t>
      </w:r>
      <w:r w:rsidR="00A34D16" w:rsidRPr="00BB7DC1">
        <w:rPr>
          <w:rFonts w:ascii="Bookman Old Style" w:hAnsi="Bookman Old Style"/>
          <w:sz w:val="22"/>
          <w:szCs w:val="22"/>
        </w:rPr>
        <w:t>(</w:t>
      </w:r>
      <w:proofErr w:type="spellStart"/>
      <w:r w:rsidR="00A34D16" w:rsidRPr="00BB7DC1">
        <w:rPr>
          <w:rFonts w:ascii="Bookman Old Style" w:hAnsi="Bookman Old Style"/>
          <w:sz w:val="22"/>
          <w:szCs w:val="22"/>
        </w:rPr>
        <w:t>αριθμ</w:t>
      </w:r>
      <w:proofErr w:type="spellEnd"/>
      <w:r w:rsidR="00A34D16" w:rsidRPr="00BB7DC1">
        <w:rPr>
          <w:rFonts w:ascii="Bookman Old Style" w:hAnsi="Bookman Old Style"/>
          <w:sz w:val="22"/>
          <w:szCs w:val="22"/>
        </w:rPr>
        <w:t xml:space="preserve">. συνεδρίασης </w:t>
      </w:r>
      <w:r w:rsidR="000B61E6" w:rsidRPr="000B61E6">
        <w:rPr>
          <w:rFonts w:ascii="Bookman Old Style" w:hAnsi="Bookman Old Style"/>
          <w:sz w:val="22"/>
          <w:szCs w:val="22"/>
        </w:rPr>
        <w:t>17/14-3-2022</w:t>
      </w:r>
      <w:r w:rsidR="00A34D16" w:rsidRPr="00BB7DC1">
        <w:rPr>
          <w:rFonts w:ascii="Bookman Old Style" w:hAnsi="Bookman Old Style"/>
          <w:sz w:val="22"/>
          <w:szCs w:val="22"/>
        </w:rPr>
        <w:t>)</w:t>
      </w:r>
      <w:r w:rsidR="00A34D16">
        <w:rPr>
          <w:rFonts w:ascii="Bookman Old Style" w:hAnsi="Bookman Old Style"/>
          <w:sz w:val="22"/>
          <w:szCs w:val="22"/>
        </w:rPr>
        <w:t>, είναι</w:t>
      </w:r>
      <w:r w:rsidR="001078FE" w:rsidRPr="00BB7DC1">
        <w:rPr>
          <w:rFonts w:ascii="Bookman Old Style" w:hAnsi="Bookman Old Style"/>
          <w:sz w:val="22"/>
          <w:szCs w:val="22"/>
        </w:rPr>
        <w:t>:</w:t>
      </w:r>
    </w:p>
    <w:p w:rsidR="00A34D16" w:rsidRPr="00BB7DC1" w:rsidRDefault="00A34D16" w:rsidP="00060F7F">
      <w:pPr>
        <w:widowControl w:val="0"/>
        <w:spacing w:line="276" w:lineRule="auto"/>
        <w:ind w:right="41"/>
        <w:jc w:val="both"/>
        <w:rPr>
          <w:rFonts w:ascii="Bookman Old Style" w:hAnsi="Bookman Old Style"/>
          <w:sz w:val="22"/>
          <w:szCs w:val="22"/>
        </w:rPr>
      </w:pPr>
    </w:p>
    <w:p w:rsidR="000B61E6" w:rsidRPr="000B61E6" w:rsidRDefault="000B61E6" w:rsidP="000B61E6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A80787">
        <w:rPr>
          <w:b/>
        </w:rPr>
        <w:t>Ι</w:t>
      </w:r>
      <w:r w:rsidRPr="000B61E6">
        <w:rPr>
          <w:rFonts w:ascii="Bookman Old Style" w:hAnsi="Bookman Old Style"/>
          <w:b/>
          <w:sz w:val="22"/>
          <w:szCs w:val="22"/>
        </w:rPr>
        <w:t xml:space="preserve">. </w:t>
      </w:r>
      <w:r w:rsidRPr="000B61E6">
        <w:rPr>
          <w:rFonts w:ascii="Bookman Old Style" w:hAnsi="Bookman Old Style"/>
          <w:b/>
          <w:sz w:val="22"/>
          <w:szCs w:val="22"/>
          <w:u w:val="single"/>
        </w:rPr>
        <w:t xml:space="preserve">Μαθηματικά </w:t>
      </w:r>
    </w:p>
    <w:p w:rsidR="000B61E6" w:rsidRPr="000B61E6" w:rsidRDefault="000B61E6" w:rsidP="000B61E6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Διαφορικός Λογισμός</w:t>
      </w:r>
    </w:p>
    <w:p w:rsidR="000B61E6" w:rsidRPr="000B61E6" w:rsidRDefault="000B61E6" w:rsidP="000B61E6">
      <w:pPr>
        <w:numPr>
          <w:ilvl w:val="0"/>
          <w:numId w:val="2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Είδη συναρτήσεων μίας μεταβλητής.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Πολυωνυμικές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>, ρητές, τριγωνομετρικές, λογαριθμικές, εκθετικές, υπερβολικές συναρτήσεις και οι αντίστροφές τους.</w:t>
      </w:r>
    </w:p>
    <w:p w:rsidR="000B61E6" w:rsidRPr="000B61E6" w:rsidRDefault="000B61E6" w:rsidP="000B61E6">
      <w:pPr>
        <w:numPr>
          <w:ilvl w:val="0"/>
          <w:numId w:val="2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Μιγαδικοί αριθμοί και ο τύπος του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Euler</w:t>
      </w:r>
      <w:proofErr w:type="spellEnd"/>
    </w:p>
    <w:p w:rsidR="000B61E6" w:rsidRPr="000B61E6" w:rsidRDefault="000B61E6" w:rsidP="000B61E6">
      <w:pPr>
        <w:numPr>
          <w:ilvl w:val="0"/>
          <w:numId w:val="2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Όρια και συνέχεια συναρτήσεων. Κανόνας De L’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Hospital</w:t>
      </w:r>
      <w:proofErr w:type="spellEnd"/>
    </w:p>
    <w:p w:rsidR="000B61E6" w:rsidRPr="000B61E6" w:rsidRDefault="000B61E6" w:rsidP="000B61E6">
      <w:pPr>
        <w:numPr>
          <w:ilvl w:val="0"/>
          <w:numId w:val="2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Παραγώγιση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 xml:space="preserve"> συναρτήσεων και διαφορικό συνάρτησης.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Παραγώγιση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 xml:space="preserve"> συναρτήσεων σε παραμετρική μορφή.</w:t>
      </w:r>
    </w:p>
    <w:p w:rsidR="000B61E6" w:rsidRPr="000B61E6" w:rsidRDefault="000B61E6" w:rsidP="000B61E6">
      <w:pPr>
        <w:numPr>
          <w:ilvl w:val="0"/>
          <w:numId w:val="2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Μελέτη συναρτήσεων με παραγώγους. Μελέτη συναρτήσεων σε παραμετρική μορφή.</w:t>
      </w:r>
    </w:p>
    <w:p w:rsidR="000B61E6" w:rsidRPr="000B61E6" w:rsidRDefault="000B61E6" w:rsidP="000B61E6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Ολοκληρωτικός Λογισμός</w:t>
      </w:r>
    </w:p>
    <w:p w:rsidR="000B61E6" w:rsidRPr="000B61E6" w:rsidRDefault="000B61E6" w:rsidP="000B61E6">
      <w:pPr>
        <w:numPr>
          <w:ilvl w:val="0"/>
          <w:numId w:val="15"/>
        </w:numPr>
        <w:ind w:left="1134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Αόριστα ολοκληρώματα. Ολοκληρώματα βασικών συναρτήσεων.</w:t>
      </w:r>
    </w:p>
    <w:p w:rsidR="000B61E6" w:rsidRPr="000B61E6" w:rsidRDefault="000B61E6" w:rsidP="000B61E6">
      <w:pPr>
        <w:numPr>
          <w:ilvl w:val="0"/>
          <w:numId w:val="15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Μέθοδοι ολοκλήρωσης. Ολοκλήρωση κατά παράγοντες, ολοκλήρωση ρητών συναρτήσεων.</w:t>
      </w:r>
    </w:p>
    <w:p w:rsidR="000B61E6" w:rsidRPr="000B61E6" w:rsidRDefault="000B61E6" w:rsidP="000B61E6">
      <w:pPr>
        <w:numPr>
          <w:ilvl w:val="0"/>
          <w:numId w:val="15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Ολοκλήρωση τριγωνομετρικών και υπερβολικών συναρτήσεων. Ολοκλήρωση ρητών συναρτήσεων.</w:t>
      </w:r>
    </w:p>
    <w:p w:rsidR="000B61E6" w:rsidRPr="000B61E6" w:rsidRDefault="000B61E6" w:rsidP="000B61E6">
      <w:pPr>
        <w:numPr>
          <w:ilvl w:val="0"/>
          <w:numId w:val="15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Ορισμένα ολοκληρώματα. Εμβαδά χωρίων, Μήκος τόξου καμπύλης.</w:t>
      </w:r>
    </w:p>
    <w:p w:rsidR="000B61E6" w:rsidRPr="000B61E6" w:rsidRDefault="000B61E6" w:rsidP="000B61E6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bookmarkStart w:id="0" w:name="_GoBack"/>
      <w:bookmarkEnd w:id="0"/>
      <w:r w:rsidRPr="000B61E6">
        <w:rPr>
          <w:rFonts w:ascii="Bookman Old Style" w:hAnsi="Bookman Old Style"/>
          <w:b/>
          <w:sz w:val="22"/>
          <w:szCs w:val="22"/>
        </w:rPr>
        <w:lastRenderedPageBreak/>
        <w:t xml:space="preserve">ΙΙ. </w:t>
      </w:r>
      <w:r w:rsidRPr="000B61E6">
        <w:rPr>
          <w:rFonts w:ascii="Bookman Old Style" w:hAnsi="Bookman Old Style"/>
          <w:b/>
          <w:sz w:val="22"/>
          <w:szCs w:val="22"/>
          <w:u w:val="single"/>
        </w:rPr>
        <w:t>Μηχανική</w:t>
      </w:r>
    </w:p>
    <w:p w:rsidR="000B61E6" w:rsidRPr="000B61E6" w:rsidRDefault="000B61E6" w:rsidP="000B61E6">
      <w:pPr>
        <w:numPr>
          <w:ilvl w:val="0"/>
          <w:numId w:val="16"/>
        </w:numPr>
        <w:ind w:left="993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Μονάδες &amp; Διανύσματα. Διάνυσμα θέσης.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Μοναδιαίο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 xml:space="preserve"> διάνυσμα. Συνιστώσες διανύσματος. Γινόμενα διανυσμάτων.</w:t>
      </w:r>
      <w:r w:rsidRPr="000B61E6">
        <w:rPr>
          <w:rFonts w:ascii="Bookman Old Style" w:hAnsi="Bookman Old Style"/>
          <w:sz w:val="22"/>
          <w:szCs w:val="22"/>
        </w:rPr>
        <w:t xml:space="preserve"> Παράγωγος διανύσματος</w:t>
      </w:r>
    </w:p>
    <w:p w:rsidR="000B61E6" w:rsidRPr="000B61E6" w:rsidRDefault="000B61E6" w:rsidP="000B61E6">
      <w:pPr>
        <w:numPr>
          <w:ilvl w:val="0"/>
          <w:numId w:val="16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Κινητική Υλικού Σημείου: Ευθύγραμμη κίνηση. Μέση και στιγμιαία ταχύτητα, επιτάχυνση. Κίνηση στο επίπεδο. </w:t>
      </w:r>
      <w:r w:rsidRPr="000B61E6">
        <w:rPr>
          <w:rFonts w:ascii="Bookman Old Style" w:hAnsi="Bookman Old Style"/>
          <w:sz w:val="22"/>
          <w:szCs w:val="22"/>
        </w:rPr>
        <w:t xml:space="preserve">Συστήματα συντεταγμένων. </w:t>
      </w:r>
      <w:r w:rsidRPr="000B61E6">
        <w:rPr>
          <w:rFonts w:ascii="Bookman Old Style" w:hAnsi="Bookman Old Style"/>
          <w:sz w:val="22"/>
          <w:szCs w:val="22"/>
          <w:lang w:bidi="en-US"/>
        </w:rPr>
        <w:t xml:space="preserve">Ανεξαρτησία κινήσεων. </w:t>
      </w:r>
      <w:r w:rsidRPr="000B61E6">
        <w:rPr>
          <w:rFonts w:ascii="Bookman Old Style" w:hAnsi="Bookman Old Style"/>
          <w:sz w:val="22"/>
          <w:szCs w:val="22"/>
        </w:rPr>
        <w:t xml:space="preserve">Αρχικές συνθήκες. </w:t>
      </w:r>
      <w:r w:rsidRPr="000B61E6">
        <w:rPr>
          <w:rFonts w:ascii="Bookman Old Style" w:hAnsi="Bookman Old Style"/>
          <w:sz w:val="22"/>
          <w:szCs w:val="22"/>
          <w:lang w:bidi="en-US"/>
        </w:rPr>
        <w:t xml:space="preserve">Βολή. Κυκλική κίνηση. </w:t>
      </w:r>
    </w:p>
    <w:p w:rsidR="000B61E6" w:rsidRPr="000B61E6" w:rsidRDefault="000B61E6" w:rsidP="000B61E6">
      <w:pPr>
        <w:numPr>
          <w:ilvl w:val="0"/>
          <w:numId w:val="16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Δυνάμεις και Κίνηση: Νόμοι Νεύτωνα. Είδη δυνάμεων. </w:t>
      </w:r>
      <w:r w:rsidRPr="000B61E6">
        <w:rPr>
          <w:rFonts w:ascii="Bookman Old Style" w:hAnsi="Bookman Old Style"/>
          <w:sz w:val="22"/>
          <w:szCs w:val="22"/>
        </w:rPr>
        <w:t xml:space="preserve">Πεδία δυνάμεων.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Βαρυτική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 xml:space="preserve"> αλληλεπίδραση. Δυνάμεις δεσμών ή αντίδρασης. Τριβή. Ισορροπία δυνάμεων.</w:t>
      </w:r>
    </w:p>
    <w:p w:rsidR="000B61E6" w:rsidRPr="000B61E6" w:rsidRDefault="000B61E6" w:rsidP="000B61E6">
      <w:pPr>
        <w:numPr>
          <w:ilvl w:val="0"/>
          <w:numId w:val="16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</w:rPr>
        <w:t xml:space="preserve">Συστήματα Αναφοράς: Σχετική ταχύτητα. Μετασχηματισμός Γαλιλαίου. Αδρανειακά και μη-αδρανειακά συστήματα. Δυνάμεις αδράνειας. Κίνηση σε στρεφόμενο σύστημα αναφοράς. Φυγόκεντρη δύναμη. Δύναμη </w:t>
      </w:r>
      <w:proofErr w:type="spellStart"/>
      <w:r w:rsidRPr="000B61E6">
        <w:rPr>
          <w:rFonts w:ascii="Bookman Old Style" w:hAnsi="Bookman Old Style"/>
          <w:sz w:val="22"/>
          <w:szCs w:val="22"/>
        </w:rPr>
        <w:t>Coriolis</w:t>
      </w:r>
      <w:proofErr w:type="spellEnd"/>
      <w:r w:rsidRPr="000B61E6">
        <w:rPr>
          <w:rFonts w:ascii="Bookman Old Style" w:hAnsi="Bookman Old Style"/>
          <w:sz w:val="22"/>
          <w:szCs w:val="22"/>
        </w:rPr>
        <w:t>.</w:t>
      </w:r>
    </w:p>
    <w:p w:rsidR="000B61E6" w:rsidRPr="000B61E6" w:rsidRDefault="000B61E6" w:rsidP="000B61E6">
      <w:pPr>
        <w:numPr>
          <w:ilvl w:val="0"/>
          <w:numId w:val="16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Ενέργεια &amp; Νόμοι της Διατήρησης: Ενέργεια. Έργο. Συντηρητικές δυνάμεις. Κινητική ενέργεια. Δυναμική ενέργεια. Ισχύς. Γραμμική ορμή, γωνιακή ορμή και ροπή δύναμης. Νόμοι διατήρησης.</w:t>
      </w:r>
    </w:p>
    <w:p w:rsidR="000B61E6" w:rsidRPr="000B61E6" w:rsidRDefault="000B61E6" w:rsidP="000B61E6">
      <w:pPr>
        <w:numPr>
          <w:ilvl w:val="0"/>
          <w:numId w:val="16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Συστήματα Υλικών Σημείων: Μηχανικό σύστημα υλικών σημείων. Εσωτερικές και εξωτερικές δυνάμεις. </w:t>
      </w:r>
      <w:r w:rsidRPr="000B61E6">
        <w:rPr>
          <w:rFonts w:ascii="Bookman Old Style" w:hAnsi="Bookman Old Style"/>
          <w:sz w:val="22"/>
          <w:szCs w:val="22"/>
        </w:rPr>
        <w:t xml:space="preserve">Εσωτερική ενέργεια. Κίνηση κέντρου μάζας. Σύστημα αναφοράς κέντρου μάζας. Ορμή, ενέργεια και γωνιακή ορμή συστήματος. </w:t>
      </w:r>
      <w:r w:rsidRPr="000B61E6">
        <w:rPr>
          <w:rFonts w:ascii="Bookman Old Style" w:hAnsi="Bookman Old Style"/>
          <w:sz w:val="22"/>
          <w:szCs w:val="22"/>
          <w:lang w:bidi="en-US"/>
        </w:rPr>
        <w:t>Κρούσεις.</w:t>
      </w:r>
    </w:p>
    <w:p w:rsidR="000B61E6" w:rsidRPr="000B61E6" w:rsidRDefault="000B61E6" w:rsidP="000B61E6">
      <w:pPr>
        <w:numPr>
          <w:ilvl w:val="0"/>
          <w:numId w:val="16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Ταλαντώσεις: Απλή αρμονική ταλάντωση. Χαρακτηριστική εξίσωση, ενέργεια. Το εκκρεμές. Φθίνουσες ταλαντώσεις. Εξαναγκασμένες ταλαντώσεις. Συντονισμός</w:t>
      </w:r>
      <w:r w:rsidRPr="000B61E6">
        <w:rPr>
          <w:rFonts w:ascii="Bookman Old Style" w:hAnsi="Bookman Old Style"/>
          <w:sz w:val="22"/>
          <w:szCs w:val="22"/>
        </w:rPr>
        <w:t xml:space="preserve">. </w:t>
      </w:r>
    </w:p>
    <w:p w:rsidR="000B61E6" w:rsidRPr="000B61E6" w:rsidRDefault="000B61E6" w:rsidP="000B61E6">
      <w:pPr>
        <w:jc w:val="both"/>
        <w:rPr>
          <w:rFonts w:ascii="Bookman Old Style" w:hAnsi="Bookman Old Style"/>
          <w:sz w:val="22"/>
          <w:szCs w:val="22"/>
        </w:rPr>
      </w:pPr>
    </w:p>
    <w:p w:rsidR="000B61E6" w:rsidRPr="000B61E6" w:rsidRDefault="000B61E6" w:rsidP="000B61E6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B61E6">
        <w:rPr>
          <w:rFonts w:ascii="Bookman Old Style" w:hAnsi="Bookman Old Style"/>
          <w:b/>
          <w:sz w:val="22"/>
          <w:szCs w:val="22"/>
        </w:rPr>
        <w:t xml:space="preserve">ΙΙΙ. </w:t>
      </w:r>
      <w:r w:rsidRPr="000B61E6">
        <w:rPr>
          <w:rFonts w:ascii="Bookman Old Style" w:hAnsi="Bookman Old Style"/>
          <w:b/>
          <w:sz w:val="22"/>
          <w:szCs w:val="22"/>
          <w:u w:val="single"/>
        </w:rPr>
        <w:t>Ηλεκτρισμός</w:t>
      </w:r>
    </w:p>
    <w:p w:rsidR="000B61E6" w:rsidRPr="000B61E6" w:rsidRDefault="000B61E6" w:rsidP="000B61E6">
      <w:pPr>
        <w:numPr>
          <w:ilvl w:val="0"/>
          <w:numId w:val="17"/>
        </w:numPr>
        <w:ind w:left="993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Ιδιότητες των ηλεκτρικών φορτίων. Φόρτιση αντικειμένων με επαγωγή. Ο νόμος του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Coulomb.Το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 xml:space="preserve"> ηλεκτρικό πεδίο. Γραμμές ηλεκτρικού πεδίου. Κίνηση φορτισμένου σωματιδίου σε ομογενές ηλεκτρικό πεδίο.</w:t>
      </w:r>
    </w:p>
    <w:p w:rsidR="000B61E6" w:rsidRPr="000B61E6" w:rsidRDefault="000B61E6" w:rsidP="000B61E6">
      <w:pPr>
        <w:numPr>
          <w:ilvl w:val="0"/>
          <w:numId w:val="17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Ηλεκτρικό δυναμικό και διαφορά δυναμικού. Διαφορά δυναμικού σε ομογενές ηλεκτρικό πεδίο. Ηλεκτρικό δυναμικό και ηλεκτρική δυναμική ενέργεια από σημειακά φορτία. </w:t>
      </w:r>
    </w:p>
    <w:p w:rsidR="000B61E6" w:rsidRPr="000B61E6" w:rsidRDefault="000B61E6" w:rsidP="000B61E6">
      <w:pPr>
        <w:numPr>
          <w:ilvl w:val="0"/>
          <w:numId w:val="17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>Ορισμός της χωρητικότητας. Υπολογισμός της χωρητικότητας. Συνδεσμολογίες πυκνωτών. Ενέργεια φορτισμένου πυκνωτή.</w:t>
      </w:r>
    </w:p>
    <w:p w:rsidR="000B61E6" w:rsidRPr="000B61E6" w:rsidRDefault="000B61E6" w:rsidP="000B61E6">
      <w:pPr>
        <w:numPr>
          <w:ilvl w:val="0"/>
          <w:numId w:val="17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Ηλεκτρικό ρεύμα. Ειδική αντίσταση. Κυκλώματα συνεχούς ρεύματος. Ηλεκτρεγερτική δύναμη. Αντιστάτες συνδεδεμένοι με σειρά και παράλληλα. Οι κανόνες του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Kichhoff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>. Κυκλώματα RC.</w:t>
      </w:r>
    </w:p>
    <w:p w:rsidR="000B61E6" w:rsidRPr="000B61E6" w:rsidRDefault="000B61E6" w:rsidP="000B61E6">
      <w:pPr>
        <w:numPr>
          <w:ilvl w:val="0"/>
          <w:numId w:val="17"/>
        </w:numPr>
        <w:ind w:left="993" w:hanging="219"/>
        <w:jc w:val="both"/>
        <w:rPr>
          <w:rFonts w:ascii="Bookman Old Style" w:hAnsi="Bookman Old Style"/>
          <w:sz w:val="22"/>
          <w:szCs w:val="22"/>
          <w:lang w:bidi="en-US"/>
        </w:rPr>
      </w:pPr>
      <w:r w:rsidRPr="000B61E6">
        <w:rPr>
          <w:rFonts w:ascii="Bookman Old Style" w:hAnsi="Bookman Old Style"/>
          <w:sz w:val="22"/>
          <w:szCs w:val="22"/>
          <w:lang w:bidi="en-US"/>
        </w:rPr>
        <w:t xml:space="preserve">Ο νόμος του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Faraday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 xml:space="preserve"> για την επαγωγή. ΗΕΔ λόγω κίνησης. Ο κανόνας του </w:t>
      </w:r>
      <w:proofErr w:type="spellStart"/>
      <w:r w:rsidRPr="000B61E6">
        <w:rPr>
          <w:rFonts w:ascii="Bookman Old Style" w:hAnsi="Bookman Old Style"/>
          <w:sz w:val="22"/>
          <w:szCs w:val="22"/>
          <w:lang w:bidi="en-US"/>
        </w:rPr>
        <w:t>Lenz</w:t>
      </w:r>
      <w:proofErr w:type="spellEnd"/>
      <w:r w:rsidRPr="000B61E6">
        <w:rPr>
          <w:rFonts w:ascii="Bookman Old Style" w:hAnsi="Bookman Old Style"/>
          <w:sz w:val="22"/>
          <w:szCs w:val="22"/>
          <w:lang w:bidi="en-US"/>
        </w:rPr>
        <w:t>.</w:t>
      </w:r>
    </w:p>
    <w:p w:rsidR="000B61E6" w:rsidRPr="008E57D3" w:rsidRDefault="000B61E6" w:rsidP="000B61E6"/>
    <w:p w:rsidR="003F5B79" w:rsidRPr="003F5B79" w:rsidRDefault="003F5B79" w:rsidP="00C46982">
      <w:pPr>
        <w:pStyle w:val="ListParagraph"/>
        <w:spacing w:line="288" w:lineRule="auto"/>
        <w:ind w:left="993" w:hanging="284"/>
        <w:jc w:val="both"/>
        <w:rPr>
          <w:u w:val="single"/>
          <w:lang w:val="el-GR"/>
        </w:rPr>
      </w:pPr>
    </w:p>
    <w:p w:rsidR="00BE52B6" w:rsidRDefault="008536D7" w:rsidP="00C46982">
      <w:pPr>
        <w:spacing w:after="120" w:line="288" w:lineRule="auto"/>
        <w:ind w:right="41"/>
        <w:jc w:val="right"/>
        <w:rPr>
          <w:rFonts w:ascii="Bookman Old Style" w:hAnsi="Bookman Old Style"/>
          <w:b/>
          <w:sz w:val="22"/>
          <w:szCs w:val="22"/>
        </w:rPr>
      </w:pPr>
      <w:r w:rsidRPr="00B72F91">
        <w:rPr>
          <w:rFonts w:ascii="Bookman Old Style" w:hAnsi="Bookman Old Style"/>
          <w:b/>
          <w:sz w:val="22"/>
          <w:szCs w:val="22"/>
        </w:rPr>
        <w:t xml:space="preserve">Από τη </w:t>
      </w:r>
      <w:r w:rsidR="00BE52B6">
        <w:rPr>
          <w:rFonts w:ascii="Bookman Old Style" w:hAnsi="Bookman Old Style"/>
          <w:b/>
          <w:sz w:val="22"/>
          <w:szCs w:val="22"/>
        </w:rPr>
        <w:t>Γραμματεία του Τμήματος Φυσικής</w:t>
      </w:r>
    </w:p>
    <w:sectPr w:rsidR="00BE52B6" w:rsidSect="00C46982">
      <w:pgSz w:w="11906" w:h="16838"/>
      <w:pgMar w:top="851" w:right="14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591" w:rsidRDefault="00715591" w:rsidP="00927C24">
      <w:r>
        <w:separator/>
      </w:r>
    </w:p>
  </w:endnote>
  <w:endnote w:type="continuationSeparator" w:id="0">
    <w:p w:rsidR="00715591" w:rsidRDefault="00715591" w:rsidP="0092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591" w:rsidRDefault="00715591" w:rsidP="00927C24">
      <w:r>
        <w:separator/>
      </w:r>
    </w:p>
  </w:footnote>
  <w:footnote w:type="continuationSeparator" w:id="0">
    <w:p w:rsidR="00715591" w:rsidRDefault="00715591" w:rsidP="0092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0997"/>
    <w:multiLevelType w:val="hybridMultilevel"/>
    <w:tmpl w:val="CBD2B0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789B"/>
    <w:multiLevelType w:val="hybridMultilevel"/>
    <w:tmpl w:val="DA4651E6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3D0"/>
    <w:multiLevelType w:val="hybridMultilevel"/>
    <w:tmpl w:val="32962B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56AF8"/>
    <w:multiLevelType w:val="hybridMultilevel"/>
    <w:tmpl w:val="CBD2B0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81F34"/>
    <w:multiLevelType w:val="hybridMultilevel"/>
    <w:tmpl w:val="729C3FE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7130CD"/>
    <w:multiLevelType w:val="hybridMultilevel"/>
    <w:tmpl w:val="D90660D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8F49D8"/>
    <w:multiLevelType w:val="hybridMultilevel"/>
    <w:tmpl w:val="D90660D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814811"/>
    <w:multiLevelType w:val="hybridMultilevel"/>
    <w:tmpl w:val="D90660D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F613EC"/>
    <w:multiLevelType w:val="hybridMultilevel"/>
    <w:tmpl w:val="CBD2B0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F4E50"/>
    <w:multiLevelType w:val="hybridMultilevel"/>
    <w:tmpl w:val="CBD2B02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50191"/>
    <w:multiLevelType w:val="hybridMultilevel"/>
    <w:tmpl w:val="D90660D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0B5475"/>
    <w:multiLevelType w:val="hybridMultilevel"/>
    <w:tmpl w:val="8438010A"/>
    <w:lvl w:ilvl="0" w:tplc="0AAE22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D7"/>
    <w:rsid w:val="00060F7F"/>
    <w:rsid w:val="000B61E6"/>
    <w:rsid w:val="001078FE"/>
    <w:rsid w:val="00134C4B"/>
    <w:rsid w:val="00137331"/>
    <w:rsid w:val="0015129D"/>
    <w:rsid w:val="00243C8E"/>
    <w:rsid w:val="002F1D77"/>
    <w:rsid w:val="00382D18"/>
    <w:rsid w:val="003833CB"/>
    <w:rsid w:val="003C682A"/>
    <w:rsid w:val="003F5B79"/>
    <w:rsid w:val="00404F5F"/>
    <w:rsid w:val="0049463B"/>
    <w:rsid w:val="005011FC"/>
    <w:rsid w:val="00582667"/>
    <w:rsid w:val="005917FD"/>
    <w:rsid w:val="005A1B1E"/>
    <w:rsid w:val="006937DB"/>
    <w:rsid w:val="006A54E7"/>
    <w:rsid w:val="00715591"/>
    <w:rsid w:val="0071787F"/>
    <w:rsid w:val="00736E2C"/>
    <w:rsid w:val="007520A4"/>
    <w:rsid w:val="00813957"/>
    <w:rsid w:val="00831030"/>
    <w:rsid w:val="00843CCC"/>
    <w:rsid w:val="008536D7"/>
    <w:rsid w:val="00861DF8"/>
    <w:rsid w:val="008B6998"/>
    <w:rsid w:val="008E2399"/>
    <w:rsid w:val="00927C24"/>
    <w:rsid w:val="009340A7"/>
    <w:rsid w:val="00950EB1"/>
    <w:rsid w:val="00983AA5"/>
    <w:rsid w:val="009F2415"/>
    <w:rsid w:val="009F7EA2"/>
    <w:rsid w:val="00A34D16"/>
    <w:rsid w:val="00A952D3"/>
    <w:rsid w:val="00AA179F"/>
    <w:rsid w:val="00AF2ECF"/>
    <w:rsid w:val="00B07451"/>
    <w:rsid w:val="00B72F91"/>
    <w:rsid w:val="00BE52B6"/>
    <w:rsid w:val="00C0541F"/>
    <w:rsid w:val="00C16943"/>
    <w:rsid w:val="00C46982"/>
    <w:rsid w:val="00C9447B"/>
    <w:rsid w:val="00D47ACA"/>
    <w:rsid w:val="00D83C96"/>
    <w:rsid w:val="00D920B2"/>
    <w:rsid w:val="00DD75A6"/>
    <w:rsid w:val="00DD7BB2"/>
    <w:rsid w:val="00E35EF4"/>
    <w:rsid w:val="00E5098A"/>
    <w:rsid w:val="00EA5271"/>
    <w:rsid w:val="00ED4AD6"/>
    <w:rsid w:val="00F03942"/>
    <w:rsid w:val="00F16EC5"/>
    <w:rsid w:val="00F47CD7"/>
    <w:rsid w:val="00F753A5"/>
    <w:rsid w:val="00F91337"/>
    <w:rsid w:val="00FA7329"/>
    <w:rsid w:val="00FB419A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2E0B"/>
  <w15:docId w15:val="{B0F95C8D-6671-459F-8B42-79ACA047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6D7"/>
    <w:pPr>
      <w:spacing w:after="0" w:line="240" w:lineRule="auto"/>
    </w:pPr>
    <w:rPr>
      <w:rFonts w:ascii="Times New Roman" w:eastAsia="Times New Roman" w:hAnsi="Times New Roman"/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E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E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2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2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2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2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2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E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E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2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2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2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2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2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2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36E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36E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2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6E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E2C"/>
    <w:rPr>
      <w:b/>
      <w:bCs/>
    </w:rPr>
  </w:style>
  <w:style w:type="character" w:styleId="Emphasis">
    <w:name w:val="Emphasis"/>
    <w:basedOn w:val="DefaultParagraphFont"/>
    <w:uiPriority w:val="20"/>
    <w:qFormat/>
    <w:rsid w:val="00736E2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6E2C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E2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36E2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6E2C"/>
    <w:rPr>
      <w:rFonts w:asciiTheme="minorHAnsi" w:eastAsiaTheme="minorHAnsi" w:hAnsiTheme="minorHAnsi"/>
      <w:i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36E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2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2C"/>
    <w:rPr>
      <w:b/>
      <w:i/>
      <w:sz w:val="24"/>
    </w:rPr>
  </w:style>
  <w:style w:type="character" w:styleId="SubtleEmphasis">
    <w:name w:val="Subtle Emphasis"/>
    <w:uiPriority w:val="19"/>
    <w:qFormat/>
    <w:rsid w:val="00736E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E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E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E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E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E2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D7"/>
    <w:rPr>
      <w:rFonts w:ascii="Tahoma" w:eastAsia="Times New Roman" w:hAnsi="Tahoma" w:cs="Tahoma"/>
      <w:sz w:val="16"/>
      <w:szCs w:val="16"/>
      <w:lang w:val="el-GR" w:eastAsia="el-GR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27C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C24"/>
    <w:rPr>
      <w:rFonts w:ascii="Times New Roman" w:eastAsia="Times New Roman" w:hAnsi="Times New Roman"/>
      <w:sz w:val="24"/>
      <w:szCs w:val="24"/>
      <w:lang w:val="el-GR" w:eastAsia="el-GR" w:bidi="ar-SA"/>
    </w:rPr>
  </w:style>
  <w:style w:type="paragraph" w:styleId="Footer">
    <w:name w:val="footer"/>
    <w:basedOn w:val="Normal"/>
    <w:link w:val="FooterChar"/>
    <w:uiPriority w:val="99"/>
    <w:unhideWhenUsed/>
    <w:rsid w:val="00927C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C24"/>
    <w:rPr>
      <w:rFonts w:ascii="Times New Roman" w:eastAsia="Times New Roman" w:hAnsi="Times New Roman"/>
      <w:sz w:val="24"/>
      <w:szCs w:val="24"/>
      <w:lang w:val="el-GR" w:eastAsia="el-GR" w:bidi="ar-SA"/>
    </w:rPr>
  </w:style>
  <w:style w:type="table" w:styleId="TableGrid">
    <w:name w:val="Table Grid"/>
    <w:basedOn w:val="TableNormal"/>
    <w:uiPriority w:val="59"/>
    <w:rsid w:val="0059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651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Lefkothea Vigli-Papadaki</cp:lastModifiedBy>
  <cp:revision>22</cp:revision>
  <cp:lastPrinted>2021-05-17T08:59:00Z</cp:lastPrinted>
  <dcterms:created xsi:type="dcterms:W3CDTF">2021-05-14T08:35:00Z</dcterms:created>
  <dcterms:modified xsi:type="dcterms:W3CDTF">2022-11-25T10:17:00Z</dcterms:modified>
</cp:coreProperties>
</file>